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6CC76" w14:textId="77777777" w:rsidR="00FE0506" w:rsidRDefault="001C6912">
      <w:pPr>
        <w:pStyle w:val="Heading2"/>
        <w:spacing w:before="0" w:line="240" w:lineRule="auto"/>
        <w:rPr>
          <w:rFonts w:ascii="Aptos" w:eastAsia="Aptos" w:hAnsi="Aptos" w:cs="Aptos"/>
          <w:b/>
          <w:bCs/>
          <w:color w:val="000000" w:themeColor="text1"/>
          <w:sz w:val="24"/>
          <w:szCs w:val="24"/>
          <w:lang w:val="en-CA"/>
        </w:rPr>
      </w:pPr>
      <w:r w:rsidRPr="001C6912">
        <w:rPr>
          <w:rFonts w:ascii="Aptos" w:eastAsia="Aptos" w:hAnsi="Aptos" w:cs="Aptos"/>
          <w:b/>
          <w:bCs/>
          <w:color w:val="000000" w:themeColor="text1"/>
          <w:sz w:val="24"/>
          <w:szCs w:val="24"/>
          <w:lang w:val="en-CA"/>
        </w:rPr>
        <w:t>SUPPLEMENTARY FIGURES</w:t>
      </w:r>
    </w:p>
    <w:p w14:paraId="5AA6CC77" w14:textId="77777777" w:rsidR="00FE0506" w:rsidRDefault="001C6912">
      <w:pPr>
        <w:pStyle w:val="Heading3"/>
        <w:spacing w:after="120" w:line="240" w:lineRule="auto"/>
        <w:jc w:val="both"/>
        <w:rPr>
          <w:rFonts w:ascii="Times New Roman" w:eastAsia="Times New Roman" w:hAnsi="Times New Roman" w:cs="Times New Roman"/>
          <w:color w:val="000000" w:themeColor="text1"/>
          <w:sz w:val="24"/>
          <w:szCs w:val="24"/>
          <w:lang w:val="en-CA"/>
        </w:rPr>
      </w:pPr>
      <w:r w:rsidRPr="001C6912">
        <w:rPr>
          <w:rFonts w:ascii="Times New Roman" w:eastAsia="Times New Roman" w:hAnsi="Times New Roman" w:cs="Times New Roman"/>
          <w:color w:val="000000" w:themeColor="text1"/>
          <w:sz w:val="24"/>
          <w:szCs w:val="24"/>
          <w:u w:val="single"/>
          <w:lang w:val="en-CA"/>
        </w:rPr>
        <w:t>Fig. S1</w:t>
      </w:r>
    </w:p>
    <w:p w14:paraId="5AA6CC78" w14:textId="77777777" w:rsidR="00FE0506" w:rsidRDefault="001C6912">
      <w:pPr>
        <w:spacing w:line="240" w:lineRule="auto"/>
        <w:rPr>
          <w:rFonts w:ascii="Times New Roman" w:eastAsia="Times New Roman" w:hAnsi="Times New Roman" w:cs="Times New Roman"/>
          <w:color w:val="000000" w:themeColor="text1"/>
          <w:lang w:val="en-CA"/>
        </w:rPr>
      </w:pPr>
      <w:proofErr w:type="spellStart"/>
      <w:r w:rsidRPr="001C6912">
        <w:rPr>
          <w:rFonts w:ascii="Times New Roman" w:eastAsia="Times New Roman" w:hAnsi="Times New Roman" w:cs="Times New Roman"/>
          <w:b/>
          <w:bCs/>
          <w:color w:val="000000" w:themeColor="text1"/>
          <w:lang w:val="en-CA"/>
        </w:rPr>
        <w:t>nf</w:t>
      </w:r>
      <w:proofErr w:type="spellEnd"/>
      <w:r w:rsidRPr="001C6912">
        <w:rPr>
          <w:rFonts w:ascii="Times New Roman" w:eastAsia="Times New Roman" w:hAnsi="Times New Roman" w:cs="Times New Roman"/>
          <w:b/>
          <w:bCs/>
          <w:color w:val="000000" w:themeColor="text1"/>
          <w:lang w:val="en-CA"/>
        </w:rPr>
        <w:t>-core-</w:t>
      </w:r>
      <w:proofErr w:type="spellStart"/>
      <w:r w:rsidRPr="001C6912">
        <w:rPr>
          <w:rFonts w:ascii="Times New Roman" w:eastAsia="Times New Roman" w:hAnsi="Times New Roman" w:cs="Times New Roman"/>
          <w:b/>
          <w:bCs/>
          <w:color w:val="000000" w:themeColor="text1"/>
          <w:lang w:val="en-CA"/>
        </w:rPr>
        <w:t>oncoseq</w:t>
      </w:r>
      <w:proofErr w:type="spellEnd"/>
      <w:r w:rsidRPr="001C6912">
        <w:rPr>
          <w:rFonts w:ascii="Times New Roman" w:eastAsia="Times New Roman" w:hAnsi="Times New Roman" w:cs="Times New Roman"/>
          <w:b/>
          <w:bCs/>
          <w:color w:val="000000" w:themeColor="text1"/>
          <w:lang w:val="en-CA"/>
        </w:rPr>
        <w:t xml:space="preserve"> workflow.</w:t>
      </w:r>
      <w:r w:rsidRPr="001C6912">
        <w:rPr>
          <w:rFonts w:ascii="Times New Roman" w:eastAsia="Times New Roman" w:hAnsi="Times New Roman" w:cs="Times New Roman"/>
          <w:color w:val="000000" w:themeColor="text1"/>
          <w:lang w:val="en-CA"/>
        </w:rPr>
        <w:t xml:space="preserve"> Schema summarizing the different tools and processes called within the </w:t>
      </w:r>
      <w:proofErr w:type="spellStart"/>
      <w:r w:rsidRPr="001C6912">
        <w:rPr>
          <w:rFonts w:ascii="Times New Roman" w:eastAsia="Times New Roman" w:hAnsi="Times New Roman" w:cs="Times New Roman"/>
          <w:color w:val="000000" w:themeColor="text1"/>
          <w:lang w:val="en-CA"/>
        </w:rPr>
        <w:t>nf</w:t>
      </w:r>
      <w:proofErr w:type="spellEnd"/>
      <w:r w:rsidRPr="001C6912">
        <w:rPr>
          <w:rFonts w:ascii="Times New Roman" w:eastAsia="Times New Roman" w:hAnsi="Times New Roman" w:cs="Times New Roman"/>
          <w:color w:val="000000" w:themeColor="text1"/>
          <w:lang w:val="en-CA"/>
        </w:rPr>
        <w:t>-core-</w:t>
      </w:r>
      <w:proofErr w:type="spellStart"/>
      <w:r w:rsidRPr="001C6912">
        <w:rPr>
          <w:rFonts w:ascii="Times New Roman" w:eastAsia="Times New Roman" w:hAnsi="Times New Roman" w:cs="Times New Roman"/>
          <w:color w:val="000000" w:themeColor="text1"/>
          <w:lang w:val="en-CA"/>
        </w:rPr>
        <w:t>oncoseq</w:t>
      </w:r>
      <w:proofErr w:type="spellEnd"/>
      <w:r w:rsidRPr="001C6912">
        <w:rPr>
          <w:rFonts w:ascii="Times New Roman" w:eastAsia="Times New Roman" w:hAnsi="Times New Roman" w:cs="Times New Roman"/>
          <w:color w:val="000000" w:themeColor="text1"/>
          <w:lang w:val="en-CA"/>
        </w:rPr>
        <w:t xml:space="preserve"> workflow for the full version ran on all samples of the cohort (A), and for the “lite” version to run in </w:t>
      </w:r>
      <w:proofErr w:type="spellStart"/>
      <w:r w:rsidRPr="001C6912">
        <w:rPr>
          <w:rFonts w:ascii="Times New Roman" w:eastAsia="Times New Roman" w:hAnsi="Times New Roman" w:cs="Times New Roman"/>
          <w:color w:val="000000" w:themeColor="text1"/>
          <w:lang w:val="en-CA"/>
        </w:rPr>
        <w:t>realtime</w:t>
      </w:r>
      <w:proofErr w:type="spellEnd"/>
      <w:r w:rsidRPr="001C6912">
        <w:rPr>
          <w:rFonts w:ascii="Times New Roman" w:eastAsia="Times New Roman" w:hAnsi="Times New Roman" w:cs="Times New Roman"/>
          <w:color w:val="000000" w:themeColor="text1"/>
          <w:lang w:val="en-CA"/>
        </w:rPr>
        <w:t xml:space="preserve"> (B). Additional details: </w:t>
      </w:r>
      <w:hyperlink r:id="rId7">
        <w:r w:rsidRPr="001C6912">
          <w:rPr>
            <w:rStyle w:val="Hyperlink"/>
            <w:rFonts w:ascii="Times New Roman" w:eastAsia="Times New Roman" w:hAnsi="Times New Roman" w:cs="Times New Roman"/>
            <w:lang w:val="en-CA"/>
          </w:rPr>
          <w:t>https://github.com/chusj-pigu/nf-core-oncoseq</w:t>
        </w:r>
      </w:hyperlink>
    </w:p>
    <w:p w14:paraId="5AA6CC79" w14:textId="77777777" w:rsidR="00FE0506" w:rsidRDefault="001C6912">
      <w:pPr>
        <w:spacing w:line="240" w:lineRule="auto"/>
        <w:rPr>
          <w:rFonts w:ascii="Times New Roman" w:eastAsia="Times New Roman" w:hAnsi="Times New Roman" w:cs="Times New Roman"/>
          <w:color w:val="000000" w:themeColor="text1"/>
          <w:lang w:val="en-CA"/>
        </w:rPr>
      </w:pPr>
      <w:r w:rsidRPr="001C6912">
        <w:rPr>
          <w:noProof/>
        </w:rPr>
        <w:drawing>
          <wp:inline distT="0" distB="0" distL="0" distR="0" wp14:anchorId="5AA6CC95" wp14:editId="5AA6CC96">
            <wp:extent cx="4196080" cy="593661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a:stretch>
                      <a:fillRect/>
                    </a:stretch>
                  </pic:blipFill>
                  <pic:spPr bwMode="auto">
                    <a:xfrm>
                      <a:off x="0" y="0"/>
                      <a:ext cx="4196080" cy="5936615"/>
                    </a:xfrm>
                    <a:prstGeom prst="rect">
                      <a:avLst/>
                    </a:prstGeom>
                    <a:noFill/>
                  </pic:spPr>
                </pic:pic>
              </a:graphicData>
            </a:graphic>
          </wp:inline>
        </w:drawing>
      </w:r>
    </w:p>
    <w:p w14:paraId="5AA6CC7A" w14:textId="77777777" w:rsidR="00FE0506" w:rsidRDefault="001C6912">
      <w:pPr>
        <w:rPr>
          <w:lang w:val="en-CA"/>
        </w:rPr>
      </w:pPr>
      <w:r>
        <w:br w:type="page"/>
      </w:r>
    </w:p>
    <w:p w14:paraId="5AA6CC7B" w14:textId="77777777" w:rsidR="00FE0506" w:rsidRDefault="001C6912">
      <w:pPr>
        <w:pStyle w:val="Heading3"/>
        <w:spacing w:before="0" w:after="120" w:line="240" w:lineRule="auto"/>
        <w:jc w:val="both"/>
        <w:rPr>
          <w:rFonts w:ascii="Times New Roman" w:eastAsia="Times New Roman" w:hAnsi="Times New Roman" w:cs="Times New Roman"/>
          <w:color w:val="000000" w:themeColor="text1"/>
          <w:sz w:val="24"/>
          <w:szCs w:val="24"/>
          <w:lang w:val="en-CA"/>
        </w:rPr>
      </w:pPr>
      <w:r w:rsidRPr="001C6912">
        <w:rPr>
          <w:rFonts w:ascii="Times New Roman" w:eastAsia="Times New Roman" w:hAnsi="Times New Roman" w:cs="Times New Roman"/>
          <w:color w:val="000000" w:themeColor="text1"/>
          <w:sz w:val="24"/>
          <w:szCs w:val="24"/>
          <w:u w:val="single"/>
          <w:lang w:val="en-CA"/>
        </w:rPr>
        <w:lastRenderedPageBreak/>
        <w:t xml:space="preserve">Fig. S2 </w:t>
      </w:r>
    </w:p>
    <w:p w14:paraId="5AA6CC7C" w14:textId="77777777" w:rsidR="00FE0506" w:rsidRDefault="001C6912">
      <w:pPr>
        <w:spacing w:line="240" w:lineRule="auto"/>
        <w:rPr>
          <w:rFonts w:ascii="Times New Roman" w:eastAsia="Times New Roman" w:hAnsi="Times New Roman" w:cs="Times New Roman"/>
          <w:color w:val="000000" w:themeColor="text1"/>
          <w:lang w:val="en-CA"/>
        </w:rPr>
      </w:pPr>
      <w:r w:rsidRPr="001C6912">
        <w:rPr>
          <w:rFonts w:ascii="Times New Roman" w:eastAsia="Times New Roman" w:hAnsi="Times New Roman" w:cs="Times New Roman"/>
          <w:b/>
          <w:bCs/>
          <w:color w:val="000000" w:themeColor="text1"/>
          <w:lang w:val="en-CA"/>
        </w:rPr>
        <w:t>Coverage stability in copy neutral and non-copy neutral samples.</w:t>
      </w:r>
      <w:r w:rsidRPr="001C6912">
        <w:rPr>
          <w:rFonts w:ascii="Times New Roman" w:eastAsia="Times New Roman" w:hAnsi="Times New Roman" w:cs="Times New Roman"/>
          <w:color w:val="000000" w:themeColor="text1"/>
          <w:lang w:val="en-CA"/>
        </w:rPr>
        <w:t xml:space="preserve"> Gene level deletion and amplifications shown by differential coverage. Mean coverage of recurrently deleted genes </w:t>
      </w:r>
      <w:r w:rsidRPr="001C6912">
        <w:rPr>
          <w:rFonts w:ascii="Times New Roman" w:eastAsia="Times New Roman" w:hAnsi="Times New Roman" w:cs="Times New Roman"/>
          <w:i/>
          <w:iCs/>
          <w:color w:val="000000" w:themeColor="text1"/>
          <w:lang w:val="en-CA"/>
        </w:rPr>
        <w:t>CDKN2A</w:t>
      </w:r>
      <w:r w:rsidRPr="001C6912">
        <w:rPr>
          <w:rFonts w:ascii="Times New Roman" w:eastAsia="Times New Roman" w:hAnsi="Times New Roman" w:cs="Times New Roman"/>
          <w:color w:val="000000" w:themeColor="text1"/>
          <w:lang w:val="en-CA"/>
        </w:rPr>
        <w:t>/</w:t>
      </w:r>
      <w:r w:rsidRPr="001C6912">
        <w:rPr>
          <w:rFonts w:ascii="Times New Roman" w:eastAsia="Times New Roman" w:hAnsi="Times New Roman" w:cs="Times New Roman"/>
          <w:i/>
          <w:iCs/>
          <w:color w:val="000000" w:themeColor="text1"/>
          <w:lang w:val="en-CA"/>
        </w:rPr>
        <w:t>B</w:t>
      </w:r>
      <w:r w:rsidRPr="001C6912">
        <w:rPr>
          <w:rFonts w:ascii="Times New Roman" w:eastAsia="Times New Roman" w:hAnsi="Times New Roman" w:cs="Times New Roman"/>
          <w:color w:val="000000" w:themeColor="text1"/>
          <w:lang w:val="en-CA"/>
        </w:rPr>
        <w:t xml:space="preserve"> and amplified gene </w:t>
      </w:r>
      <w:r w:rsidRPr="001C6912">
        <w:rPr>
          <w:rFonts w:ascii="Times New Roman" w:eastAsia="Times New Roman" w:hAnsi="Times New Roman" w:cs="Times New Roman"/>
          <w:i/>
          <w:iCs/>
          <w:color w:val="000000" w:themeColor="text1"/>
          <w:lang w:val="en-CA"/>
        </w:rPr>
        <w:t>MYCN</w:t>
      </w:r>
      <w:r w:rsidRPr="001C6912">
        <w:rPr>
          <w:rFonts w:ascii="Times New Roman" w:eastAsia="Times New Roman" w:hAnsi="Times New Roman" w:cs="Times New Roman"/>
          <w:color w:val="000000" w:themeColor="text1"/>
          <w:lang w:val="en-CA"/>
        </w:rPr>
        <w:t xml:space="preserve"> shown across control and positive patients. Blue color represents a coverage with a Z score of &lt; 2.75, red color represents a coverage with a Z score of &gt; 2.75.</w:t>
      </w:r>
    </w:p>
    <w:p w14:paraId="5AA6CC7D" w14:textId="77777777" w:rsidR="00FE0506" w:rsidRDefault="00FE0506">
      <w:pPr>
        <w:spacing w:line="240" w:lineRule="auto"/>
        <w:rPr>
          <w:rFonts w:ascii="Times New Roman" w:eastAsia="Times New Roman" w:hAnsi="Times New Roman" w:cs="Times New Roman"/>
          <w:color w:val="000000" w:themeColor="text1"/>
          <w:lang w:val="en-CA"/>
        </w:rPr>
      </w:pPr>
    </w:p>
    <w:p w14:paraId="5AA6CC7E" w14:textId="77777777" w:rsidR="00FE0506" w:rsidRDefault="001C6912">
      <w:pPr>
        <w:spacing w:line="240" w:lineRule="auto"/>
        <w:rPr>
          <w:rFonts w:ascii="Times New Roman" w:eastAsia="Times New Roman" w:hAnsi="Times New Roman" w:cs="Times New Roman"/>
          <w:color w:val="000000" w:themeColor="text1"/>
          <w:u w:val="single"/>
          <w:lang w:val="en-CA"/>
        </w:rPr>
      </w:pPr>
      <w:r w:rsidRPr="001C6912">
        <w:rPr>
          <w:noProof/>
        </w:rPr>
        <w:drawing>
          <wp:inline distT="0" distB="0" distL="0" distR="0" wp14:anchorId="5AA6CC97" wp14:editId="2D336113">
            <wp:extent cx="3482975" cy="4926330"/>
            <wp:effectExtent l="0" t="0" r="0" b="127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9" cstate="print">
                      <a:extLst>
                        <a:ext uri="{28A0092B-C50C-407E-A947-70E740481C1C}">
                          <a14:useLocalDpi xmlns:a14="http://schemas.microsoft.com/office/drawing/2010/main" val="0"/>
                        </a:ext>
                      </a:extLst>
                    </a:blip>
                    <a:srcRect l="4" r="4"/>
                    <a:stretch>
                      <a:fillRect/>
                    </a:stretch>
                  </pic:blipFill>
                  <pic:spPr bwMode="auto">
                    <a:xfrm>
                      <a:off x="0" y="0"/>
                      <a:ext cx="3482975" cy="4926330"/>
                    </a:xfrm>
                    <a:prstGeom prst="rect">
                      <a:avLst/>
                    </a:prstGeom>
                    <a:noFill/>
                  </pic:spPr>
                </pic:pic>
              </a:graphicData>
            </a:graphic>
          </wp:inline>
        </w:drawing>
      </w:r>
      <w:r>
        <w:br w:type="page"/>
      </w:r>
    </w:p>
    <w:p w14:paraId="5AA6CC7F" w14:textId="77777777" w:rsidR="00FE0506" w:rsidRDefault="001C6912">
      <w:pPr>
        <w:pStyle w:val="Heading3"/>
        <w:spacing w:before="0" w:after="120" w:line="240" w:lineRule="auto"/>
        <w:jc w:val="both"/>
        <w:rPr>
          <w:rFonts w:ascii="Times New Roman" w:eastAsia="Times New Roman" w:hAnsi="Times New Roman" w:cs="Times New Roman"/>
          <w:color w:val="000000" w:themeColor="text1"/>
          <w:sz w:val="24"/>
          <w:szCs w:val="24"/>
          <w:lang w:val="en-CA"/>
        </w:rPr>
      </w:pPr>
      <w:r w:rsidRPr="001C6912">
        <w:rPr>
          <w:rFonts w:ascii="Times New Roman" w:eastAsia="Times New Roman" w:hAnsi="Times New Roman" w:cs="Times New Roman"/>
          <w:color w:val="000000" w:themeColor="text1"/>
          <w:sz w:val="24"/>
          <w:szCs w:val="24"/>
          <w:u w:val="single"/>
          <w:lang w:val="en-CA"/>
        </w:rPr>
        <w:lastRenderedPageBreak/>
        <w:t xml:space="preserve">Fig. S3 </w:t>
      </w:r>
    </w:p>
    <w:p w14:paraId="5AA6CC80" w14:textId="77777777" w:rsidR="00FE0506" w:rsidRDefault="001C6912">
      <w:pPr>
        <w:spacing w:line="240" w:lineRule="auto"/>
        <w:rPr>
          <w:rFonts w:ascii="Times New Roman" w:eastAsia="Times New Roman" w:hAnsi="Times New Roman" w:cs="Times New Roman"/>
          <w:color w:val="000000" w:themeColor="text1"/>
          <w:lang w:val="en-CA"/>
        </w:rPr>
      </w:pPr>
      <w:r w:rsidRPr="001C6912">
        <w:rPr>
          <w:rFonts w:ascii="Times New Roman" w:eastAsia="Times New Roman" w:hAnsi="Times New Roman" w:cs="Times New Roman"/>
          <w:b/>
          <w:bCs/>
          <w:color w:val="000000" w:themeColor="text1"/>
          <w:lang w:val="en-CA"/>
        </w:rPr>
        <w:t>Mean coverage of on-target genes/loci.</w:t>
      </w:r>
      <w:r w:rsidRPr="001C6912">
        <w:rPr>
          <w:rFonts w:ascii="Times New Roman" w:eastAsia="Times New Roman" w:hAnsi="Times New Roman" w:cs="Times New Roman"/>
          <w:color w:val="000000" w:themeColor="text1"/>
          <w:lang w:val="en-CA"/>
        </w:rPr>
        <w:t xml:space="preserve"> Representative normal sample (SI_ASWGS0921 – mean coverage 186X). Genes are ordered by chromosomal position. Coverage of genes that exceed 1.5 times the median is capped to this value, and real value is annotated on the plot to facilitate visualization of variation. Alignment type filters are a combination of </w:t>
      </w:r>
      <w:proofErr w:type="spellStart"/>
      <w:r w:rsidRPr="001C6912">
        <w:rPr>
          <w:rFonts w:ascii="Times New Roman" w:eastAsia="Times New Roman" w:hAnsi="Times New Roman" w:cs="Times New Roman"/>
          <w:color w:val="000000" w:themeColor="text1"/>
          <w:lang w:val="en-CA"/>
        </w:rPr>
        <w:t>samtools</w:t>
      </w:r>
      <w:proofErr w:type="spellEnd"/>
      <w:r w:rsidRPr="001C6912">
        <w:rPr>
          <w:rFonts w:ascii="Times New Roman" w:eastAsia="Times New Roman" w:hAnsi="Times New Roman" w:cs="Times New Roman"/>
          <w:color w:val="000000" w:themeColor="text1"/>
          <w:lang w:val="en-CA"/>
        </w:rPr>
        <w:t xml:space="preserve"> flag filters and </w:t>
      </w:r>
      <w:proofErr w:type="spellStart"/>
      <w:r w:rsidRPr="001C6912">
        <w:rPr>
          <w:rFonts w:ascii="Times New Roman" w:eastAsia="Times New Roman" w:hAnsi="Times New Roman" w:cs="Times New Roman"/>
          <w:color w:val="000000" w:themeColor="text1"/>
          <w:lang w:val="en-CA"/>
        </w:rPr>
        <w:t>mapq</w:t>
      </w:r>
      <w:proofErr w:type="spellEnd"/>
      <w:r w:rsidRPr="001C6912">
        <w:rPr>
          <w:rFonts w:ascii="Times New Roman" w:eastAsia="Times New Roman" w:hAnsi="Times New Roman" w:cs="Times New Roman"/>
          <w:color w:val="000000" w:themeColor="text1"/>
          <w:lang w:val="en-CA"/>
        </w:rPr>
        <w:t xml:space="preserve"> filters. No filter is representative of all alignments including secondary alignments, primary only excludes secondary alignments but includes alignments of MAPQ= 0, and unique includes only alignments of MAPQ= 60. Dashed lines represent median on target (upper) and off target (lower) coverage. </w:t>
      </w:r>
      <w:r w:rsidRPr="001C6912">
        <w:rPr>
          <w:rFonts w:ascii="Times New Roman" w:eastAsia="Times New Roman" w:hAnsi="Times New Roman" w:cs="Times New Roman"/>
          <w:lang w:val="en-CA"/>
        </w:rPr>
        <w:t xml:space="preserve">Grey color bars indicate a coverage that is within a range of 2.75 from </w:t>
      </w:r>
      <w:proofErr w:type="spellStart"/>
      <w:r w:rsidRPr="001C6912">
        <w:rPr>
          <w:rFonts w:ascii="Times New Roman" w:eastAsia="Times New Roman" w:hAnsi="Times New Roman" w:cs="Times New Roman"/>
          <w:lang w:val="en-CA"/>
        </w:rPr>
        <w:t>zscore</w:t>
      </w:r>
      <w:proofErr w:type="spellEnd"/>
      <w:r w:rsidRPr="001C6912">
        <w:rPr>
          <w:rFonts w:ascii="Times New Roman" w:eastAsia="Times New Roman" w:hAnsi="Times New Roman" w:cs="Times New Roman"/>
          <w:lang w:val="en-CA"/>
        </w:rPr>
        <w:t xml:space="preserve"> of said gene compared to mean coverage of targets for the sample.</w:t>
      </w:r>
    </w:p>
    <w:p w14:paraId="5AA6CC81" w14:textId="77777777" w:rsidR="00FE0506" w:rsidRDefault="00FE0506">
      <w:pPr>
        <w:spacing w:line="240" w:lineRule="auto"/>
        <w:rPr>
          <w:rFonts w:ascii="Times New Roman" w:eastAsia="Times New Roman" w:hAnsi="Times New Roman" w:cs="Times New Roman"/>
          <w:color w:val="000000" w:themeColor="text1"/>
          <w:lang w:val="en-CA"/>
        </w:rPr>
      </w:pPr>
    </w:p>
    <w:p w14:paraId="5AA6CC82" w14:textId="77777777" w:rsidR="00FE0506" w:rsidRDefault="001C6912">
      <w:pPr>
        <w:spacing w:after="120" w:line="240" w:lineRule="auto"/>
        <w:rPr>
          <w:rFonts w:ascii="Times New Roman" w:eastAsia="Times New Roman" w:hAnsi="Times New Roman" w:cs="Times New Roman"/>
          <w:color w:val="000000" w:themeColor="text1"/>
          <w:u w:val="single"/>
          <w:lang w:val="en-CA"/>
        </w:rPr>
      </w:pPr>
      <w:r w:rsidRPr="001C6912">
        <w:rPr>
          <w:noProof/>
        </w:rPr>
        <w:drawing>
          <wp:inline distT="0" distB="0" distL="0" distR="0" wp14:anchorId="5AA6CC99" wp14:editId="5C61C0EE">
            <wp:extent cx="4859020" cy="3738245"/>
            <wp:effectExtent l="0" t="0" r="508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45700"/>
                    <a:stretch/>
                  </pic:blipFill>
                  <pic:spPr bwMode="auto">
                    <a:xfrm>
                      <a:off x="0" y="0"/>
                      <a:ext cx="4859020" cy="3738245"/>
                    </a:xfrm>
                    <a:prstGeom prst="rect">
                      <a:avLst/>
                    </a:prstGeom>
                    <a:noFill/>
                  </pic:spPr>
                </pic:pic>
              </a:graphicData>
            </a:graphic>
          </wp:inline>
        </w:drawing>
      </w:r>
    </w:p>
    <w:p w14:paraId="5AA6CC83" w14:textId="77777777" w:rsidR="00FE0506" w:rsidRDefault="001C6912">
      <w:pPr>
        <w:spacing w:after="120" w:line="240" w:lineRule="auto"/>
        <w:rPr>
          <w:lang w:val="en-CA"/>
        </w:rPr>
      </w:pPr>
      <w:r>
        <w:br w:type="page"/>
      </w:r>
    </w:p>
    <w:p w14:paraId="5AA6CC84" w14:textId="77777777" w:rsidR="00FE0506" w:rsidRDefault="001C6912">
      <w:pPr>
        <w:pStyle w:val="Heading3"/>
        <w:spacing w:before="0" w:after="120" w:line="240" w:lineRule="auto"/>
        <w:jc w:val="both"/>
        <w:rPr>
          <w:rFonts w:ascii="Times New Roman" w:eastAsia="Times New Roman" w:hAnsi="Times New Roman" w:cs="Times New Roman"/>
          <w:color w:val="000000" w:themeColor="text1"/>
          <w:sz w:val="24"/>
          <w:szCs w:val="24"/>
          <w:lang w:val="en-CA"/>
        </w:rPr>
      </w:pPr>
      <w:r w:rsidRPr="001C6912">
        <w:rPr>
          <w:rFonts w:ascii="Times New Roman" w:eastAsia="Times New Roman" w:hAnsi="Times New Roman" w:cs="Times New Roman"/>
          <w:color w:val="000000" w:themeColor="text1"/>
          <w:sz w:val="24"/>
          <w:szCs w:val="24"/>
          <w:u w:val="single"/>
          <w:lang w:val="en-CA"/>
        </w:rPr>
        <w:lastRenderedPageBreak/>
        <w:t>Fig. S4</w:t>
      </w:r>
      <w:r w:rsidRPr="001C6912">
        <w:rPr>
          <w:rFonts w:ascii="Times New Roman" w:eastAsia="Times New Roman" w:hAnsi="Times New Roman" w:cs="Times New Roman"/>
          <w:color w:val="000000" w:themeColor="text1"/>
          <w:sz w:val="24"/>
          <w:szCs w:val="24"/>
          <w:lang w:val="en-CA"/>
        </w:rPr>
        <w:t xml:space="preserve"> </w:t>
      </w:r>
    </w:p>
    <w:p w14:paraId="5AA6CC85" w14:textId="77777777" w:rsidR="00FE0506" w:rsidRDefault="001C6912">
      <w:pPr>
        <w:spacing w:line="240" w:lineRule="auto"/>
        <w:rPr>
          <w:rFonts w:ascii="Times New Roman" w:eastAsia="Times New Roman" w:hAnsi="Times New Roman" w:cs="Times New Roman"/>
          <w:color w:val="000000" w:themeColor="text1"/>
          <w:lang w:val="en-CA"/>
        </w:rPr>
      </w:pPr>
      <w:r w:rsidRPr="001C6912">
        <w:rPr>
          <w:rFonts w:ascii="Times New Roman" w:eastAsia="Times New Roman" w:hAnsi="Times New Roman" w:cs="Times New Roman"/>
          <w:b/>
          <w:bCs/>
          <w:color w:val="000000" w:themeColor="text1"/>
          <w:lang w:val="en-CA"/>
        </w:rPr>
        <w:t>Coverage Statistics for the cohort.</w:t>
      </w:r>
      <w:r w:rsidRPr="001C6912">
        <w:rPr>
          <w:rFonts w:ascii="Times New Roman" w:eastAsia="Times New Roman" w:hAnsi="Times New Roman" w:cs="Times New Roman"/>
          <w:color w:val="000000" w:themeColor="text1"/>
          <w:lang w:val="en-CA"/>
        </w:rPr>
        <w:t xml:space="preserve"> </w:t>
      </w:r>
      <w:r w:rsidRPr="001C6912">
        <w:rPr>
          <w:rFonts w:ascii="Times New Roman" w:eastAsia="Times New Roman" w:hAnsi="Times New Roman" w:cs="Times New Roman"/>
          <w:b/>
          <w:bCs/>
          <w:color w:val="000000" w:themeColor="text1"/>
          <w:lang w:val="en-CA"/>
        </w:rPr>
        <w:t>A</w:t>
      </w:r>
      <w:r w:rsidRPr="001C6912">
        <w:rPr>
          <w:rFonts w:ascii="Times New Roman" w:eastAsia="Times New Roman" w:hAnsi="Times New Roman" w:cs="Times New Roman"/>
          <w:color w:val="000000" w:themeColor="text1"/>
          <w:lang w:val="en-CA"/>
        </w:rPr>
        <w:t xml:space="preserve">) Relationship between mean coverage in targeted region and gDNA DIN (n = 36), with point in yellow representing the samples for which a long fragment buffer was used to exclude short fragments (&lt;3kb). </w:t>
      </w:r>
      <w:r w:rsidRPr="001C6912">
        <w:rPr>
          <w:rFonts w:ascii="Times New Roman" w:eastAsia="Times New Roman" w:hAnsi="Times New Roman" w:cs="Times New Roman"/>
          <w:b/>
          <w:bCs/>
          <w:color w:val="000000" w:themeColor="text1"/>
          <w:lang w:val="en-CA"/>
        </w:rPr>
        <w:t>B</w:t>
      </w:r>
      <w:r w:rsidRPr="001C6912">
        <w:rPr>
          <w:rFonts w:ascii="Times New Roman" w:eastAsia="Times New Roman" w:hAnsi="Times New Roman" w:cs="Times New Roman"/>
          <w:color w:val="000000" w:themeColor="text1"/>
          <w:lang w:val="en-CA"/>
        </w:rPr>
        <w:t xml:space="preserve">) Relationship between mean coverage inside of target (X) and number of </w:t>
      </w:r>
      <w:proofErr w:type="spellStart"/>
      <w:r w:rsidRPr="001C6912">
        <w:rPr>
          <w:rFonts w:ascii="Times New Roman" w:eastAsia="Times New Roman" w:hAnsi="Times New Roman" w:cs="Times New Roman"/>
          <w:color w:val="000000" w:themeColor="text1"/>
          <w:lang w:val="en-CA"/>
        </w:rPr>
        <w:t>flowcell</w:t>
      </w:r>
      <w:proofErr w:type="spellEnd"/>
      <w:r w:rsidRPr="001C6912">
        <w:rPr>
          <w:rFonts w:ascii="Times New Roman" w:eastAsia="Times New Roman" w:hAnsi="Times New Roman" w:cs="Times New Roman"/>
          <w:color w:val="000000" w:themeColor="text1"/>
          <w:lang w:val="en-CA"/>
        </w:rPr>
        <w:t xml:space="preserve"> pores at start of sequencing. Point opacity shows input gDNA DIN.</w:t>
      </w:r>
      <w:r w:rsidRPr="001C6912">
        <w:rPr>
          <w:rFonts w:ascii="Times New Roman" w:eastAsia="Times New Roman" w:hAnsi="Times New Roman" w:cs="Times New Roman"/>
          <w:b/>
          <w:bCs/>
          <w:color w:val="000000" w:themeColor="text1"/>
          <w:lang w:val="en-CA"/>
        </w:rPr>
        <w:t xml:space="preserve"> C) </w:t>
      </w:r>
      <w:r w:rsidRPr="001C6912">
        <w:rPr>
          <w:rFonts w:ascii="Times New Roman" w:eastAsia="Times New Roman" w:hAnsi="Times New Roman" w:cs="Times New Roman"/>
          <w:color w:val="000000" w:themeColor="text1"/>
          <w:lang w:val="en-CA"/>
        </w:rPr>
        <w:t xml:space="preserve">Inside of target mean coverage (X) across samples according to </w:t>
      </w:r>
      <w:proofErr w:type="spellStart"/>
      <w:r w:rsidRPr="001C6912">
        <w:rPr>
          <w:rFonts w:ascii="Times New Roman" w:eastAsia="Times New Roman" w:hAnsi="Times New Roman" w:cs="Times New Roman"/>
          <w:color w:val="000000" w:themeColor="text1"/>
          <w:lang w:val="en-CA"/>
        </w:rPr>
        <w:t>flowcell</w:t>
      </w:r>
      <w:proofErr w:type="spellEnd"/>
      <w:r w:rsidRPr="001C6912">
        <w:rPr>
          <w:rFonts w:ascii="Times New Roman" w:eastAsia="Times New Roman" w:hAnsi="Times New Roman" w:cs="Times New Roman"/>
          <w:color w:val="000000" w:themeColor="text1"/>
          <w:lang w:val="en-CA"/>
        </w:rPr>
        <w:t xml:space="preserve"> reception date to show variability between flow cell batches. Mann-Whitney test to compare mean coverage between dates of reception 24/07/2024 and 02/01/2025 resulted in a p value of 0.0003. Red dots identify the healthy donor sample that was sequenced twice.</w:t>
      </w:r>
    </w:p>
    <w:p w14:paraId="5AA6CC86" w14:textId="77777777" w:rsidR="00FE0506" w:rsidRDefault="00FE0506">
      <w:pPr>
        <w:spacing w:line="240" w:lineRule="auto"/>
        <w:rPr>
          <w:rFonts w:ascii="Times New Roman" w:eastAsia="Times New Roman" w:hAnsi="Times New Roman" w:cs="Times New Roman"/>
          <w:color w:val="000000" w:themeColor="text1"/>
          <w:lang w:val="en-CA"/>
        </w:rPr>
      </w:pPr>
    </w:p>
    <w:p w14:paraId="5AA6CC87" w14:textId="77777777" w:rsidR="00FE0506" w:rsidRDefault="001C6912">
      <w:pPr>
        <w:spacing w:line="240" w:lineRule="auto"/>
      </w:pPr>
      <w:r w:rsidRPr="001C6912">
        <w:rPr>
          <w:noProof/>
        </w:rPr>
        <w:drawing>
          <wp:inline distT="0" distB="0" distL="0" distR="0" wp14:anchorId="5AA6CC9B" wp14:editId="5AA6CC9C">
            <wp:extent cx="5724525" cy="5505450"/>
            <wp:effectExtent l="0" t="0" r="0" b="0"/>
            <wp:docPr id="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pic:cNvPicPr>
                      <a:picLocks noChangeAspect="1" noChangeArrowheads="1"/>
                    </pic:cNvPicPr>
                  </pic:nvPicPr>
                  <pic:blipFill>
                    <a:blip r:embed="rId11"/>
                    <a:stretch>
                      <a:fillRect/>
                    </a:stretch>
                  </pic:blipFill>
                  <pic:spPr bwMode="auto">
                    <a:xfrm>
                      <a:off x="0" y="0"/>
                      <a:ext cx="5724525" cy="5505450"/>
                    </a:xfrm>
                    <a:prstGeom prst="rect">
                      <a:avLst/>
                    </a:prstGeom>
                    <a:noFill/>
                  </pic:spPr>
                </pic:pic>
              </a:graphicData>
            </a:graphic>
          </wp:inline>
        </w:drawing>
      </w:r>
    </w:p>
    <w:p w14:paraId="5AA6CC88" w14:textId="77777777" w:rsidR="00FE0506" w:rsidRDefault="001C6912">
      <w:pPr>
        <w:rPr>
          <w:rFonts w:ascii="Times New Roman" w:eastAsia="Times New Roman" w:hAnsi="Times New Roman" w:cs="Times New Roman"/>
          <w:color w:val="000000" w:themeColor="text1"/>
          <w:u w:val="single"/>
          <w:lang w:val="en-CA"/>
        </w:rPr>
      </w:pPr>
      <w:r>
        <w:br w:type="page"/>
      </w:r>
    </w:p>
    <w:p w14:paraId="5AA6CC89" w14:textId="77777777" w:rsidR="00FE0506" w:rsidRDefault="001C6912">
      <w:pPr>
        <w:pStyle w:val="Heading3"/>
        <w:spacing w:before="0" w:after="120" w:line="240" w:lineRule="auto"/>
        <w:jc w:val="both"/>
        <w:rPr>
          <w:rFonts w:ascii="Times New Roman" w:eastAsia="Times New Roman" w:hAnsi="Times New Roman" w:cs="Times New Roman"/>
          <w:color w:val="000000" w:themeColor="text1"/>
          <w:sz w:val="24"/>
          <w:szCs w:val="24"/>
          <w:lang w:val="en-CA"/>
        </w:rPr>
      </w:pPr>
      <w:r w:rsidRPr="001C6912">
        <w:rPr>
          <w:rFonts w:ascii="Times New Roman" w:eastAsia="Times New Roman" w:hAnsi="Times New Roman" w:cs="Times New Roman"/>
          <w:color w:val="000000" w:themeColor="text1"/>
          <w:sz w:val="24"/>
          <w:szCs w:val="24"/>
          <w:u w:val="single"/>
          <w:lang w:val="en-CA"/>
        </w:rPr>
        <w:lastRenderedPageBreak/>
        <w:t>Fig. S5</w:t>
      </w:r>
      <w:r w:rsidRPr="001C6912">
        <w:rPr>
          <w:rFonts w:ascii="Times New Roman" w:eastAsia="Times New Roman" w:hAnsi="Times New Roman" w:cs="Times New Roman"/>
          <w:color w:val="000000" w:themeColor="text1"/>
          <w:sz w:val="24"/>
          <w:szCs w:val="24"/>
          <w:lang w:val="en-CA"/>
        </w:rPr>
        <w:t xml:space="preserve"> </w:t>
      </w:r>
    </w:p>
    <w:p w14:paraId="5AA6CC8A" w14:textId="77777777" w:rsidR="00FE0506" w:rsidRDefault="001C6912">
      <w:pPr>
        <w:spacing w:line="240" w:lineRule="auto"/>
        <w:rPr>
          <w:rFonts w:ascii="Times New Roman" w:eastAsia="Times New Roman" w:hAnsi="Times New Roman" w:cs="Times New Roman"/>
          <w:color w:val="000000" w:themeColor="text1"/>
          <w:lang w:val="en-CA"/>
        </w:rPr>
      </w:pPr>
      <w:r w:rsidRPr="001C6912">
        <w:rPr>
          <w:rFonts w:ascii="Times New Roman" w:eastAsia="Times New Roman" w:hAnsi="Times New Roman" w:cs="Times New Roman"/>
          <w:b/>
          <w:bCs/>
          <w:color w:val="000000" w:themeColor="text1"/>
          <w:lang w:val="en-CA"/>
        </w:rPr>
        <w:t>Examples of visual confirmation of alterations missed by the workflow</w:t>
      </w:r>
      <w:r w:rsidRPr="001C6912">
        <w:rPr>
          <w:rFonts w:ascii="Times New Roman" w:eastAsia="Times New Roman" w:hAnsi="Times New Roman" w:cs="Times New Roman"/>
          <w:color w:val="000000" w:themeColor="text1"/>
          <w:lang w:val="en-CA"/>
        </w:rPr>
        <w:t xml:space="preserve">. </w:t>
      </w:r>
      <w:r w:rsidRPr="001C6912">
        <w:rPr>
          <w:rFonts w:ascii="Times New Roman" w:eastAsia="Times New Roman" w:hAnsi="Times New Roman" w:cs="Times New Roman"/>
          <w:b/>
          <w:bCs/>
          <w:color w:val="000000" w:themeColor="text1"/>
          <w:lang w:val="en-CA"/>
        </w:rPr>
        <w:t>A)</w:t>
      </w:r>
      <w:r w:rsidRPr="001C6912">
        <w:rPr>
          <w:rFonts w:ascii="Times New Roman" w:eastAsia="Times New Roman" w:hAnsi="Times New Roman" w:cs="Times New Roman"/>
          <w:color w:val="000000" w:themeColor="text1"/>
          <w:lang w:val="en-CA"/>
        </w:rPr>
        <w:t xml:space="preserve"> </w:t>
      </w:r>
      <w:r w:rsidRPr="001C6912">
        <w:rPr>
          <w:rFonts w:ascii="Times New Roman" w:eastAsia="Times New Roman" w:hAnsi="Times New Roman" w:cs="Times New Roman"/>
          <w:i/>
          <w:iCs/>
          <w:color w:val="000000" w:themeColor="text1"/>
          <w:lang w:val="en-CA"/>
        </w:rPr>
        <w:t>SET-NUP214</w:t>
      </w:r>
      <w:r w:rsidRPr="001C6912">
        <w:rPr>
          <w:rFonts w:ascii="Times New Roman" w:eastAsia="Times New Roman" w:hAnsi="Times New Roman" w:cs="Times New Roman"/>
          <w:color w:val="000000" w:themeColor="text1"/>
          <w:lang w:val="en-CA"/>
        </w:rPr>
        <w:t xml:space="preserve"> fusion in sample SI_ASWGS1002. </w:t>
      </w:r>
      <w:r w:rsidRPr="001C6912">
        <w:rPr>
          <w:rFonts w:ascii="Times New Roman" w:eastAsia="Times New Roman" w:hAnsi="Times New Roman" w:cs="Times New Roman"/>
          <w:b/>
          <w:bCs/>
          <w:color w:val="000000" w:themeColor="text1"/>
          <w:lang w:val="en-CA"/>
        </w:rPr>
        <w:t>B)</w:t>
      </w:r>
      <w:r w:rsidRPr="001C6912">
        <w:rPr>
          <w:rFonts w:ascii="Times New Roman" w:eastAsia="Times New Roman" w:hAnsi="Times New Roman" w:cs="Times New Roman"/>
          <w:color w:val="000000" w:themeColor="text1"/>
          <w:lang w:val="en-CA"/>
        </w:rPr>
        <w:t xml:space="preserve"> </w:t>
      </w:r>
      <w:r w:rsidRPr="001C6912">
        <w:rPr>
          <w:rFonts w:ascii="Times New Roman" w:eastAsia="Times New Roman" w:hAnsi="Times New Roman" w:cs="Times New Roman"/>
          <w:i/>
          <w:iCs/>
          <w:color w:val="000000" w:themeColor="text1"/>
          <w:lang w:val="en-CA"/>
        </w:rPr>
        <w:t>FLT3</w:t>
      </w:r>
      <w:r w:rsidRPr="001C6912">
        <w:rPr>
          <w:rFonts w:ascii="Times New Roman" w:eastAsia="Times New Roman" w:hAnsi="Times New Roman" w:cs="Times New Roman"/>
          <w:color w:val="000000" w:themeColor="text1"/>
          <w:lang w:val="en-CA"/>
        </w:rPr>
        <w:t>-ITD (Internal tandem duplication) in sample SI_ASWGS1196.  VAF WES: 11%; VAF AS-WGS: 7%).</w:t>
      </w:r>
    </w:p>
    <w:p w14:paraId="5AA6CC8B" w14:textId="77777777" w:rsidR="00FE0506" w:rsidRDefault="001C6912">
      <w:pPr>
        <w:spacing w:line="240" w:lineRule="auto"/>
        <w:rPr>
          <w:rFonts w:ascii="Aptos" w:eastAsia="Aptos" w:hAnsi="Aptos" w:cs="Aptos"/>
          <w:b/>
          <w:bCs/>
          <w:color w:val="000000" w:themeColor="text1"/>
          <w:lang w:val="en-CA"/>
        </w:rPr>
      </w:pPr>
      <w:r w:rsidRPr="001C6912">
        <w:rPr>
          <w:noProof/>
        </w:rPr>
        <w:drawing>
          <wp:inline distT="0" distB="0" distL="0" distR="0" wp14:anchorId="5AA6CC9D" wp14:editId="76920F4C">
            <wp:extent cx="5269230" cy="2290445"/>
            <wp:effectExtent l="0" t="0" r="127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3133" b="66119"/>
                    <a:stretch/>
                  </pic:blipFill>
                  <pic:spPr bwMode="auto">
                    <a:xfrm>
                      <a:off x="0" y="0"/>
                      <a:ext cx="5269230" cy="2290445"/>
                    </a:xfrm>
                    <a:prstGeom prst="rect">
                      <a:avLst/>
                    </a:prstGeom>
                    <a:noFill/>
                  </pic:spPr>
                </pic:pic>
              </a:graphicData>
            </a:graphic>
          </wp:inline>
        </w:drawing>
      </w:r>
    </w:p>
    <w:p w14:paraId="5AA6CC8C" w14:textId="77777777" w:rsidR="00FE0506" w:rsidRDefault="001C6912">
      <w:pPr>
        <w:rPr>
          <w:rFonts w:ascii="Times New Roman" w:eastAsia="Times New Roman" w:hAnsi="Times New Roman" w:cs="Times New Roman"/>
          <w:color w:val="000000" w:themeColor="text1"/>
          <w:u w:val="single"/>
          <w:lang w:val="en-CA"/>
        </w:rPr>
      </w:pPr>
      <w:r>
        <w:br w:type="page"/>
      </w:r>
    </w:p>
    <w:p w14:paraId="5AA6CC8D" w14:textId="77777777" w:rsidR="00FE0506" w:rsidRDefault="001C6912">
      <w:pPr>
        <w:pStyle w:val="Heading3"/>
        <w:spacing w:before="0" w:after="120" w:line="240" w:lineRule="auto"/>
        <w:jc w:val="both"/>
        <w:rPr>
          <w:rFonts w:ascii="Times New Roman" w:eastAsia="Times New Roman" w:hAnsi="Times New Roman" w:cs="Times New Roman"/>
          <w:color w:val="000000" w:themeColor="text1"/>
          <w:sz w:val="24"/>
          <w:szCs w:val="24"/>
          <w:u w:val="single"/>
          <w:lang w:val="en-CA"/>
        </w:rPr>
      </w:pPr>
      <w:r w:rsidRPr="001C6912">
        <w:rPr>
          <w:rFonts w:ascii="Times New Roman" w:eastAsia="Times New Roman" w:hAnsi="Times New Roman" w:cs="Times New Roman"/>
          <w:color w:val="000000" w:themeColor="text1"/>
          <w:sz w:val="24"/>
          <w:szCs w:val="24"/>
          <w:u w:val="single"/>
          <w:lang w:val="en-CA"/>
        </w:rPr>
        <w:lastRenderedPageBreak/>
        <w:t>Fig. S6</w:t>
      </w:r>
    </w:p>
    <w:p w14:paraId="5AA6CC8E" w14:textId="77777777" w:rsidR="00FE0506" w:rsidRDefault="001C6912">
      <w:pPr>
        <w:jc w:val="both"/>
        <w:rPr>
          <w:rFonts w:ascii="Times New Roman" w:eastAsia="Times New Roman" w:hAnsi="Times New Roman" w:cs="Times New Roman"/>
          <w:color w:val="000000" w:themeColor="text1"/>
          <w:lang w:val="en-CA"/>
        </w:rPr>
      </w:pPr>
      <w:r w:rsidRPr="001C6912">
        <w:rPr>
          <w:rFonts w:ascii="Times New Roman" w:eastAsia="Times New Roman" w:hAnsi="Times New Roman" w:cs="Times New Roman"/>
          <w:b/>
          <w:bCs/>
          <w:color w:val="000000" w:themeColor="text1"/>
          <w:lang w:val="en-CA"/>
        </w:rPr>
        <w:t>Variant detection limits.</w:t>
      </w:r>
      <w:r w:rsidRPr="001C6912">
        <w:rPr>
          <w:rFonts w:ascii="Times New Roman" w:eastAsia="Times New Roman" w:hAnsi="Times New Roman" w:cs="Times New Roman"/>
          <w:color w:val="000000" w:themeColor="text1"/>
          <w:lang w:val="en-CA"/>
        </w:rPr>
        <w:t xml:space="preserve"> </w:t>
      </w:r>
      <w:proofErr w:type="spellStart"/>
      <w:r w:rsidRPr="001C6912">
        <w:rPr>
          <w:rFonts w:ascii="Times New Roman" w:eastAsia="Times New Roman" w:hAnsi="Times New Roman" w:cs="Times New Roman"/>
          <w:color w:val="000000" w:themeColor="text1"/>
          <w:lang w:val="en-CA"/>
        </w:rPr>
        <w:t>QDNAseq</w:t>
      </w:r>
      <w:proofErr w:type="spellEnd"/>
      <w:r w:rsidRPr="001C6912">
        <w:rPr>
          <w:rFonts w:ascii="Times New Roman" w:eastAsia="Times New Roman" w:hAnsi="Times New Roman" w:cs="Times New Roman"/>
          <w:color w:val="000000" w:themeColor="text1"/>
          <w:lang w:val="en-CA"/>
        </w:rPr>
        <w:t xml:space="preserve"> and Sniffles2 variant detection tools were applied to tumor and germline alignments, bioinformatically mixed at known fractions. Automatic CNV detection deteriorates below 70% tumor fraction and automatic SV detection below 40-50% tumor fraction. Manual inspection (denoted by *) enabled the detection of both large and small CNVs at lower tumor fractions, with detection limits of approximately 20% tumor fraction for large CNVs and 5% tumor fraction for focal deletions.</w:t>
      </w:r>
    </w:p>
    <w:p w14:paraId="5AA6CC8F" w14:textId="77777777" w:rsidR="00FE0506" w:rsidRDefault="001C6912">
      <w:pPr>
        <w:pStyle w:val="Heading3"/>
        <w:spacing w:after="120" w:line="240" w:lineRule="auto"/>
        <w:jc w:val="both"/>
        <w:rPr>
          <w:rFonts w:ascii="Times New Roman" w:eastAsia="Times New Roman" w:hAnsi="Times New Roman" w:cs="Times New Roman"/>
          <w:color w:val="000000" w:themeColor="text1"/>
          <w:sz w:val="24"/>
          <w:szCs w:val="24"/>
          <w:u w:val="single"/>
          <w:lang w:val="en-CA"/>
        </w:rPr>
      </w:pPr>
      <w:r w:rsidRPr="001C6912">
        <w:rPr>
          <w:noProof/>
        </w:rPr>
        <w:drawing>
          <wp:inline distT="0" distB="0" distL="0" distR="0" wp14:anchorId="5AA6CC9F" wp14:editId="5AA6CCA0">
            <wp:extent cx="5629275" cy="4288790"/>
            <wp:effectExtent l="0" t="0" r="0" b="0"/>
            <wp:docPr id="6"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pic:cNvPicPr>
                      <a:picLocks noChangeAspect="1" noChangeArrowheads="1"/>
                    </pic:cNvPicPr>
                  </pic:nvPicPr>
                  <pic:blipFill>
                    <a:blip r:embed="rId13"/>
                    <a:stretch>
                      <a:fillRect/>
                    </a:stretch>
                  </pic:blipFill>
                  <pic:spPr bwMode="auto">
                    <a:xfrm>
                      <a:off x="0" y="0"/>
                      <a:ext cx="5629275" cy="4288790"/>
                    </a:xfrm>
                    <a:prstGeom prst="rect">
                      <a:avLst/>
                    </a:prstGeom>
                    <a:noFill/>
                  </pic:spPr>
                </pic:pic>
              </a:graphicData>
            </a:graphic>
          </wp:inline>
        </w:drawing>
      </w:r>
    </w:p>
    <w:p w14:paraId="5AA6CC90" w14:textId="77777777" w:rsidR="00FE0506" w:rsidRDefault="00FE0506">
      <w:pPr>
        <w:rPr>
          <w:lang w:val="en-CA"/>
        </w:rPr>
      </w:pPr>
    </w:p>
    <w:p w14:paraId="5AA6CC91" w14:textId="77777777" w:rsidR="00FE0506" w:rsidRDefault="001C6912">
      <w:pPr>
        <w:rPr>
          <w:rFonts w:ascii="Times New Roman" w:eastAsia="Times New Roman" w:hAnsi="Times New Roman" w:cs="Times New Roman"/>
          <w:color w:val="000000" w:themeColor="text1"/>
          <w:u w:val="single"/>
          <w:lang w:val="en-CA"/>
        </w:rPr>
      </w:pPr>
      <w:r>
        <w:br w:type="page"/>
      </w:r>
    </w:p>
    <w:p w14:paraId="5AA6CC92" w14:textId="77777777" w:rsidR="00FE0506" w:rsidRDefault="001C6912">
      <w:pPr>
        <w:pStyle w:val="Heading3"/>
        <w:spacing w:before="0" w:after="120" w:line="240" w:lineRule="auto"/>
        <w:jc w:val="both"/>
        <w:rPr>
          <w:rFonts w:ascii="Times New Roman" w:eastAsia="Times New Roman" w:hAnsi="Times New Roman" w:cs="Times New Roman"/>
          <w:color w:val="000000" w:themeColor="text1"/>
          <w:sz w:val="24"/>
          <w:szCs w:val="24"/>
          <w:lang w:val="en-CA"/>
        </w:rPr>
      </w:pPr>
      <w:r w:rsidRPr="001C6912">
        <w:rPr>
          <w:rFonts w:ascii="Times New Roman" w:eastAsia="Times New Roman" w:hAnsi="Times New Roman" w:cs="Times New Roman"/>
          <w:color w:val="000000" w:themeColor="text1"/>
          <w:sz w:val="24"/>
          <w:szCs w:val="24"/>
          <w:u w:val="single"/>
          <w:lang w:val="en-CA"/>
        </w:rPr>
        <w:lastRenderedPageBreak/>
        <w:t>Fig. S7</w:t>
      </w:r>
      <w:r w:rsidRPr="001C6912">
        <w:rPr>
          <w:rFonts w:ascii="Times New Roman" w:eastAsia="Times New Roman" w:hAnsi="Times New Roman" w:cs="Times New Roman"/>
          <w:color w:val="000000" w:themeColor="text1"/>
          <w:sz w:val="24"/>
          <w:szCs w:val="24"/>
          <w:lang w:val="en-CA"/>
        </w:rPr>
        <w:t xml:space="preserve"> </w:t>
      </w:r>
    </w:p>
    <w:p w14:paraId="5AA6CC93" w14:textId="77777777" w:rsidR="00FE0506" w:rsidRDefault="001C6912">
      <w:pPr>
        <w:jc w:val="both"/>
        <w:rPr>
          <w:rFonts w:ascii="Times New Roman" w:eastAsia="Times New Roman" w:hAnsi="Times New Roman" w:cs="Times New Roman"/>
          <w:color w:val="000000" w:themeColor="text1"/>
          <w:lang w:val="en-CA"/>
        </w:rPr>
      </w:pPr>
      <w:r w:rsidRPr="001C6912">
        <w:rPr>
          <w:rFonts w:ascii="Times New Roman" w:eastAsia="Times New Roman" w:hAnsi="Times New Roman" w:cs="Times New Roman"/>
          <w:b/>
          <w:bCs/>
          <w:color w:val="000000" w:themeColor="text1"/>
          <w:lang w:val="en-CA"/>
        </w:rPr>
        <w:t>Methylation classification detection limit.</w:t>
      </w:r>
      <w:r w:rsidRPr="001C6912">
        <w:rPr>
          <w:rFonts w:ascii="Times New Roman" w:eastAsia="Times New Roman" w:hAnsi="Times New Roman" w:cs="Times New Roman"/>
          <w:color w:val="000000" w:themeColor="text1"/>
          <w:lang w:val="en-CA"/>
        </w:rPr>
        <w:t xml:space="preserve"> The MARLIN classifier was applied to bioinformatically diluted tumor fractions. For each tumor, the classification loses confidence or is classified as a control at 40-50% tumor fraction. The control germline sample mix was classified as a control type and oscillated consistently respective to the ratio.</w:t>
      </w:r>
    </w:p>
    <w:p w14:paraId="5AA6CC94" w14:textId="77777777" w:rsidR="00FE0506" w:rsidRDefault="001C6912">
      <w:pPr>
        <w:spacing w:line="240" w:lineRule="auto"/>
        <w:rPr>
          <w:lang w:val="en-CA"/>
        </w:rPr>
      </w:pPr>
      <w:r w:rsidRPr="001C6912">
        <w:rPr>
          <w:noProof/>
        </w:rPr>
        <w:drawing>
          <wp:inline distT="0" distB="0" distL="0" distR="0" wp14:anchorId="5AA6CCA1" wp14:editId="5AA6CCA2">
            <wp:extent cx="5731510" cy="4309745"/>
            <wp:effectExtent l="0" t="0" r="0" b="0"/>
            <wp:docPr id="7"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pic:cNvPicPr>
                      <a:picLocks noChangeAspect="1" noChangeArrowheads="1"/>
                    </pic:cNvPicPr>
                  </pic:nvPicPr>
                  <pic:blipFill>
                    <a:blip r:embed="rId14"/>
                    <a:stretch>
                      <a:fillRect/>
                    </a:stretch>
                  </pic:blipFill>
                  <pic:spPr bwMode="auto">
                    <a:xfrm>
                      <a:off x="0" y="0"/>
                      <a:ext cx="5731510" cy="4309745"/>
                    </a:xfrm>
                    <a:prstGeom prst="rect">
                      <a:avLst/>
                    </a:prstGeom>
                    <a:noFill/>
                  </pic:spPr>
                </pic:pic>
              </a:graphicData>
            </a:graphic>
          </wp:inline>
        </w:drawing>
      </w:r>
    </w:p>
    <w:sectPr w:rsidR="00FE050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A6CCBD" w14:textId="77777777" w:rsidR="001C6912" w:rsidRDefault="001C6912">
      <w:pPr>
        <w:spacing w:after="0" w:line="240" w:lineRule="auto"/>
      </w:pPr>
      <w:r>
        <w:separator/>
      </w:r>
    </w:p>
  </w:endnote>
  <w:endnote w:type="continuationSeparator" w:id="0">
    <w:p w14:paraId="5AA6CCBF" w14:textId="77777777" w:rsidR="001C6912" w:rsidRDefault="001C6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6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Noto Sans Devanagari">
    <w:panose1 w:val="020B0502040504020204"/>
    <w:charset w:val="00"/>
    <w:family w:val="swiss"/>
    <w:pitch w:val="variable"/>
    <w:sig w:usb0="80008023" w:usb1="00002046"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CCA9" w14:textId="77777777" w:rsidR="00FE0506" w:rsidRDefault="00FE05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FE0506" w14:paraId="5AA6CCAD" w14:textId="77777777">
      <w:trPr>
        <w:trHeight w:val="300"/>
      </w:trPr>
      <w:tc>
        <w:tcPr>
          <w:tcW w:w="3005" w:type="dxa"/>
        </w:tcPr>
        <w:p w14:paraId="5AA6CCAA" w14:textId="77777777" w:rsidR="00FE0506" w:rsidRDefault="00FE0506">
          <w:pPr>
            <w:pStyle w:val="Header"/>
            <w:ind w:left="-115"/>
          </w:pPr>
        </w:p>
      </w:tc>
      <w:tc>
        <w:tcPr>
          <w:tcW w:w="3005" w:type="dxa"/>
        </w:tcPr>
        <w:p w14:paraId="5AA6CCAB" w14:textId="77777777" w:rsidR="00FE0506" w:rsidRDefault="00FE0506">
          <w:pPr>
            <w:pStyle w:val="Header"/>
            <w:jc w:val="center"/>
          </w:pPr>
        </w:p>
      </w:tc>
      <w:tc>
        <w:tcPr>
          <w:tcW w:w="3005" w:type="dxa"/>
        </w:tcPr>
        <w:p w14:paraId="5AA6CCAC" w14:textId="77777777" w:rsidR="00FE0506" w:rsidRDefault="00FE0506">
          <w:pPr>
            <w:pStyle w:val="Header"/>
            <w:ind w:right="-115"/>
            <w:jc w:val="right"/>
          </w:pPr>
        </w:p>
      </w:tc>
    </w:tr>
  </w:tbl>
  <w:p w14:paraId="5AA6CCAE" w14:textId="77777777" w:rsidR="00FE0506" w:rsidRDefault="00FE05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FE0506" w14:paraId="5AA6CCB7" w14:textId="77777777">
      <w:trPr>
        <w:trHeight w:val="300"/>
      </w:trPr>
      <w:tc>
        <w:tcPr>
          <w:tcW w:w="3005" w:type="dxa"/>
        </w:tcPr>
        <w:p w14:paraId="5AA6CCB4" w14:textId="77777777" w:rsidR="00FE0506" w:rsidRDefault="00FE0506">
          <w:pPr>
            <w:pStyle w:val="Header"/>
            <w:ind w:left="-115"/>
          </w:pPr>
        </w:p>
      </w:tc>
      <w:tc>
        <w:tcPr>
          <w:tcW w:w="3005" w:type="dxa"/>
        </w:tcPr>
        <w:p w14:paraId="5AA6CCB5" w14:textId="77777777" w:rsidR="00FE0506" w:rsidRDefault="00FE0506">
          <w:pPr>
            <w:pStyle w:val="Header"/>
            <w:jc w:val="center"/>
          </w:pPr>
        </w:p>
      </w:tc>
      <w:tc>
        <w:tcPr>
          <w:tcW w:w="3005" w:type="dxa"/>
        </w:tcPr>
        <w:p w14:paraId="5AA6CCB6" w14:textId="77777777" w:rsidR="00FE0506" w:rsidRDefault="00FE0506">
          <w:pPr>
            <w:pStyle w:val="Header"/>
            <w:ind w:right="-115"/>
            <w:jc w:val="right"/>
          </w:pPr>
        </w:p>
      </w:tc>
    </w:tr>
  </w:tbl>
  <w:p w14:paraId="5AA6CCB8" w14:textId="77777777" w:rsidR="00FE0506" w:rsidRDefault="00FE0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A6CCB9" w14:textId="77777777" w:rsidR="001C6912" w:rsidRDefault="001C6912">
      <w:pPr>
        <w:spacing w:after="0" w:line="240" w:lineRule="auto"/>
      </w:pPr>
      <w:r>
        <w:separator/>
      </w:r>
    </w:p>
  </w:footnote>
  <w:footnote w:type="continuationSeparator" w:id="0">
    <w:p w14:paraId="5AA6CCBB" w14:textId="77777777" w:rsidR="001C6912" w:rsidRDefault="001C6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6CCA3" w14:textId="77777777" w:rsidR="00FE0506" w:rsidRDefault="00FE05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FE0506" w14:paraId="5AA6CCA7" w14:textId="77777777">
      <w:trPr>
        <w:trHeight w:val="300"/>
      </w:trPr>
      <w:tc>
        <w:tcPr>
          <w:tcW w:w="3005" w:type="dxa"/>
        </w:tcPr>
        <w:p w14:paraId="5AA6CCA4" w14:textId="77777777" w:rsidR="00FE0506" w:rsidRDefault="00FE0506">
          <w:pPr>
            <w:pStyle w:val="Header"/>
            <w:ind w:left="-115"/>
          </w:pPr>
        </w:p>
      </w:tc>
      <w:tc>
        <w:tcPr>
          <w:tcW w:w="3005" w:type="dxa"/>
        </w:tcPr>
        <w:p w14:paraId="5AA6CCA5" w14:textId="77777777" w:rsidR="00FE0506" w:rsidRDefault="00FE0506">
          <w:pPr>
            <w:pStyle w:val="Header"/>
            <w:jc w:val="center"/>
          </w:pPr>
        </w:p>
      </w:tc>
      <w:tc>
        <w:tcPr>
          <w:tcW w:w="3005" w:type="dxa"/>
        </w:tcPr>
        <w:p w14:paraId="5AA6CCA6" w14:textId="77777777" w:rsidR="00FE0506" w:rsidRDefault="00FE0506">
          <w:pPr>
            <w:pStyle w:val="Header"/>
            <w:ind w:right="-115"/>
            <w:jc w:val="right"/>
          </w:pPr>
        </w:p>
      </w:tc>
    </w:tr>
  </w:tbl>
  <w:p w14:paraId="5AA6CCA8" w14:textId="77777777" w:rsidR="00FE0506" w:rsidRDefault="00FE05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3005"/>
      <w:gridCol w:w="3005"/>
      <w:gridCol w:w="3005"/>
    </w:tblGrid>
    <w:tr w:rsidR="00FE0506" w14:paraId="5AA6CCB2" w14:textId="77777777">
      <w:trPr>
        <w:trHeight w:val="300"/>
      </w:trPr>
      <w:tc>
        <w:tcPr>
          <w:tcW w:w="3005" w:type="dxa"/>
        </w:tcPr>
        <w:p w14:paraId="5AA6CCAF" w14:textId="77777777" w:rsidR="00FE0506" w:rsidRDefault="00FE0506">
          <w:pPr>
            <w:pStyle w:val="Header"/>
            <w:ind w:left="-115"/>
          </w:pPr>
        </w:p>
      </w:tc>
      <w:tc>
        <w:tcPr>
          <w:tcW w:w="3005" w:type="dxa"/>
        </w:tcPr>
        <w:p w14:paraId="5AA6CCB0" w14:textId="77777777" w:rsidR="00FE0506" w:rsidRDefault="00FE0506">
          <w:pPr>
            <w:pStyle w:val="Header"/>
            <w:jc w:val="center"/>
          </w:pPr>
        </w:p>
      </w:tc>
      <w:tc>
        <w:tcPr>
          <w:tcW w:w="3005" w:type="dxa"/>
        </w:tcPr>
        <w:p w14:paraId="5AA6CCB1" w14:textId="77777777" w:rsidR="00FE0506" w:rsidRDefault="00FE0506">
          <w:pPr>
            <w:pStyle w:val="Header"/>
            <w:ind w:right="-115"/>
            <w:jc w:val="right"/>
          </w:pPr>
        </w:p>
      </w:tc>
    </w:tr>
  </w:tbl>
  <w:p w14:paraId="5AA6CCB3" w14:textId="77777777" w:rsidR="00FE0506" w:rsidRDefault="00FE05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506"/>
    <w:rsid w:val="001C6912"/>
    <w:rsid w:val="0096071C"/>
    <w:rsid w:val="00FE050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AA6CC76"/>
  <w15:docId w15:val="{07E37466-4559-1C4B-9E9A-2BBB35E9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style>
  <w:style w:type="paragraph" w:styleId="Heading2">
    <w:name w:val="heading 2"/>
    <w:basedOn w:val="Normal"/>
    <w:next w:val="Normal"/>
    <w:uiPriority w:val="9"/>
    <w:unhideWhenUsed/>
    <w:qFormat/>
    <w:rsid w:val="1A070A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1A070AE9"/>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1A070AE9"/>
    <w:rPr>
      <w:color w:val="467886"/>
      <w:u w:val="single"/>
    </w:rPr>
  </w:style>
  <w:style w:type="character" w:styleId="PlaceholderText">
    <w:name w:val="Placeholder Text"/>
    <w:basedOn w:val="DefaultParagraphFont"/>
    <w:uiPriority w:val="99"/>
    <w:semiHidden/>
    <w:qFormat/>
    <w:rsid w:val="00EA0986"/>
    <w:rPr>
      <w:color w:val="666666"/>
    </w:rPr>
  </w:style>
  <w:style w:type="character" w:styleId="FollowedHyperlink">
    <w:name w:val="FollowedHyperlink"/>
    <w:basedOn w:val="DefaultParagraphFont"/>
    <w:uiPriority w:val="99"/>
    <w:semiHidden/>
    <w:unhideWhenUsed/>
    <w:rsid w:val="009E490F"/>
    <w:rPr>
      <w:color w:val="96607D" w:themeColor="followedHyperlink"/>
      <w:u w:val="single"/>
    </w:rPr>
  </w:style>
  <w:style w:type="character" w:customStyle="1" w:styleId="CommentTextChar">
    <w:name w:val="Comment Text Char"/>
    <w:basedOn w:val="DefaultParagraphFont"/>
    <w:link w:val="CommentText"/>
    <w:uiPriority w:val="99"/>
    <w:semiHidden/>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UnresolvedMention">
    <w:name w:val="Unresolved Mention"/>
    <w:basedOn w:val="DefaultParagraphFont"/>
    <w:uiPriority w:val="99"/>
    <w:semiHidden/>
    <w:unhideWhenUsed/>
    <w:qFormat/>
    <w:rsid w:val="00D16A65"/>
    <w:rPr>
      <w:color w:val="605E5C"/>
      <w:shd w:val="clear" w:color="auto" w:fill="E1DFDD"/>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rPr>
  </w:style>
  <w:style w:type="paragraph" w:customStyle="1" w:styleId="Index">
    <w:name w:val="Index"/>
    <w:basedOn w:val="Normal"/>
    <w:qFormat/>
    <w:pPr>
      <w:suppressLineNumbers/>
    </w:pPr>
    <w:rPr>
      <w:rFonts w:cs="Noto Sans Devanagari"/>
    </w:rPr>
  </w:style>
  <w:style w:type="paragraph" w:customStyle="1" w:styleId="Args">
    <w:name w:val="Args"/>
    <w:basedOn w:val="Normal"/>
    <w:qFormat/>
    <w:rsid w:val="004C5997"/>
    <w:pPr>
      <w:spacing w:line="480" w:lineRule="auto"/>
    </w:pPr>
    <w:rPr>
      <w:rFonts w:ascii="Courier New" w:eastAsia="Times New Roman" w:hAnsi="Courier New" w:cs="Courier New"/>
      <w:color w:val="000000" w:themeColor="text1"/>
      <w:lang w:val="en-US"/>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Revision">
    <w:name w:val="Revision"/>
    <w:uiPriority w:val="99"/>
    <w:semiHidden/>
    <w:qFormat/>
    <w:rsid w:val="00FE0577"/>
  </w:style>
  <w:style w:type="paragraph" w:customStyle="1" w:styleId="HeaderandFooter">
    <w:name w:val="Header and Footer"/>
    <w:basedOn w:val="Normal"/>
    <w:qFormat/>
  </w:style>
  <w:style w:type="paragraph" w:styleId="Header">
    <w:name w:val="header"/>
    <w:basedOn w:val="Normal"/>
    <w:uiPriority w:val="99"/>
    <w:unhideWhenUsed/>
    <w:rsid w:val="25655C04"/>
    <w:pPr>
      <w:tabs>
        <w:tab w:val="center" w:pos="4680"/>
        <w:tab w:val="right" w:pos="9360"/>
      </w:tabs>
      <w:spacing w:after="0" w:line="240" w:lineRule="auto"/>
    </w:pPr>
  </w:style>
  <w:style w:type="paragraph" w:styleId="Footer">
    <w:name w:val="footer"/>
    <w:basedOn w:val="Normal"/>
    <w:uiPriority w:val="99"/>
    <w:unhideWhenUsed/>
    <w:rsid w:val="25655C04"/>
    <w:pPr>
      <w:tabs>
        <w:tab w:val="center" w:pos="4680"/>
        <w:tab w:val="right" w:pos="9360"/>
      </w:tabs>
      <w:spacing w:after="0" w:line="240" w:lineRule="auto"/>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pn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github.com/chusj-pigu/nf-core-oncoseq" TargetMode="Externa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9D1063-499F-F94D-A619-CCEFEE90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7</Pages>
  <Words>516</Words>
  <Characters>2946</Characters>
  <Application>Microsoft Office Word</Application>
  <DocSecurity>0</DocSecurity>
  <Lines>24</Lines>
  <Paragraphs>6</Paragraphs>
  <ScaleCrop>false</ScaleCrop>
  <Company/>
  <LinksUpToDate>false</LinksUpToDate>
  <CharactersWithSpaces>3456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Sylvie Langlois (HSJ)</dc:creator>
  <dc:description/>
  <cp:lastModifiedBy>Veronique Lisi (HSJ)</cp:lastModifiedBy>
  <cp:revision>12</cp:revision>
  <cp:lastPrinted>2025-09-30T20:46:00Z</cp:lastPrinted>
  <dcterms:created xsi:type="dcterms:W3CDTF">2026-07-08T14:02:00Z</dcterms:created>
  <dcterms:modified xsi:type="dcterms:W3CDTF">2026-09-04T16:32:00Z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ActionId">
    <vt:lpwstr>19e38040-f4be-400f-b126-c715cc37c4ff</vt:lpwstr>
  </property>
  <property fmtid="{D5CDD505-2E9C-101B-9397-08002B2CF9AE}" pid="3" name="MSIP_Label_6a7d8d5d-78e2-4a62-9fcd-016eb5e4c57c_ContentBits">
    <vt:lpwstr>0</vt:lpwstr>
  </property>
  <property fmtid="{D5CDD505-2E9C-101B-9397-08002B2CF9AE}" pid="4" name="MSIP_Label_6a7d8d5d-78e2-4a62-9fcd-016eb5e4c57c_Enabled">
    <vt:lpwstr>true</vt:lpwstr>
  </property>
  <property fmtid="{D5CDD505-2E9C-101B-9397-08002B2CF9AE}" pid="5" name="MSIP_Label_6a7d8d5d-78e2-4a62-9fcd-016eb5e4c57c_Method">
    <vt:lpwstr>Standard</vt:lpwstr>
  </property>
  <property fmtid="{D5CDD505-2E9C-101B-9397-08002B2CF9AE}" pid="6" name="MSIP_Label_6a7d8d5d-78e2-4a62-9fcd-016eb5e4c57c_Name">
    <vt:lpwstr>Général</vt:lpwstr>
  </property>
  <property fmtid="{D5CDD505-2E9C-101B-9397-08002B2CF9AE}" pid="7" name="MSIP_Label_6a7d8d5d-78e2-4a62-9fcd-016eb5e4c57c_SetDate">
    <vt:lpwstr>2025-09-25T13:00:05Z</vt:lpwstr>
  </property>
  <property fmtid="{D5CDD505-2E9C-101B-9397-08002B2CF9AE}" pid="8" name="MSIP_Label_6a7d8d5d-78e2-4a62-9fcd-016eb5e4c57c_SiteId">
    <vt:lpwstr>06e1fe28-5f8b-4075-bf6c-ae24be1a7992</vt:lpwstr>
  </property>
  <property fmtid="{D5CDD505-2E9C-101B-9397-08002B2CF9AE}" pid="9" name="MSIP_Label_6a7d8d5d-78e2-4a62-9fcd-016eb5e4c57c_Tag">
    <vt:lpwstr>10, 3, 0, 2</vt:lpwstr>
  </property>
</Properties>
</file>