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D0E" w:rsidRPr="00304894" w:rsidRDefault="00304894">
      <w:pPr>
        <w:rPr>
          <w:b/>
          <w:sz w:val="28"/>
          <w:lang w:val="en-GB"/>
        </w:rPr>
      </w:pPr>
      <w:r w:rsidRPr="00304894">
        <w:rPr>
          <w:b/>
          <w:sz w:val="28"/>
          <w:lang w:val="en-GB"/>
        </w:rPr>
        <w:t>Supplementary material to manuscript:</w:t>
      </w:r>
    </w:p>
    <w:p w:rsidR="00304894" w:rsidRPr="00304894" w:rsidRDefault="00304894" w:rsidP="00304894">
      <w:pPr>
        <w:rPr>
          <w:bCs/>
          <w:i/>
          <w:sz w:val="28"/>
          <w:vertAlign w:val="superscript"/>
          <w:lang w:val="fi-FI"/>
        </w:rPr>
      </w:pPr>
      <w:r w:rsidRPr="00304894">
        <w:rPr>
          <w:i/>
          <w:sz w:val="28"/>
          <w:lang w:val="en-GB"/>
        </w:rPr>
        <w:t>Rheumatoid factor, not antibodies against citrullinated proteins, are associated with disease activity in rheumatoid arthritis (</w:t>
      </w:r>
      <w:r w:rsidRPr="00304894">
        <w:rPr>
          <w:bCs/>
          <w:i/>
          <w:sz w:val="28"/>
          <w:lang w:val="fi-FI"/>
        </w:rPr>
        <w:t>D Aletaha, F Alasti, JS Smolen).</w:t>
      </w:r>
    </w:p>
    <w:p w:rsidR="00304894" w:rsidRPr="00304894" w:rsidRDefault="00304894">
      <w:pPr>
        <w:rPr>
          <w:b/>
          <w:sz w:val="28"/>
          <w:lang w:val="en-GB"/>
        </w:rPr>
      </w:pPr>
    </w:p>
    <w:p w:rsidR="00304894" w:rsidRPr="00304894" w:rsidRDefault="00304894">
      <w:pPr>
        <w:rPr>
          <w:b/>
          <w:sz w:val="28"/>
          <w:lang w:val="en-GB"/>
        </w:rPr>
      </w:pPr>
    </w:p>
    <w:p w:rsidR="00304894" w:rsidRPr="000F1C6C" w:rsidRDefault="00304894" w:rsidP="00304894">
      <w:pPr>
        <w:spacing w:line="480" w:lineRule="auto"/>
        <w:contextualSpacing/>
        <w:rPr>
          <w:rFonts w:eastAsia="MS Mincho" w:cs="Calibri"/>
          <w:sz w:val="24"/>
          <w:szCs w:val="24"/>
          <w:lang w:val="en-GB"/>
        </w:rPr>
      </w:pPr>
      <w:r w:rsidRPr="000F1C6C">
        <w:rPr>
          <w:rFonts w:eastAsia="MS Mincho" w:cs="Calibri"/>
          <w:b/>
          <w:bCs/>
          <w:sz w:val="24"/>
          <w:szCs w:val="24"/>
          <w:lang w:val="en-GB"/>
        </w:rPr>
        <w:t xml:space="preserve">Figure </w:t>
      </w:r>
      <w:r>
        <w:rPr>
          <w:rFonts w:eastAsia="MS Mincho" w:cs="Calibri"/>
          <w:b/>
          <w:bCs/>
          <w:sz w:val="24"/>
          <w:szCs w:val="24"/>
          <w:lang w:val="en-GB"/>
        </w:rPr>
        <w:t>S</w:t>
      </w:r>
      <w:r w:rsidRPr="000F1C6C">
        <w:rPr>
          <w:rFonts w:eastAsia="MS Mincho" w:cs="Calibri"/>
          <w:b/>
          <w:bCs/>
          <w:sz w:val="24"/>
          <w:szCs w:val="24"/>
          <w:lang w:val="en-GB"/>
        </w:rPr>
        <w:t xml:space="preserve">1. Disease activity at baseline </w:t>
      </w:r>
      <w:r>
        <w:rPr>
          <w:rFonts w:eastAsia="MS Mincho" w:cs="Calibri"/>
          <w:b/>
          <w:bCs/>
          <w:sz w:val="24"/>
          <w:szCs w:val="24"/>
          <w:lang w:val="en-GB"/>
        </w:rPr>
        <w:t xml:space="preserve">in the rituximab database (IMAGE trial of early RA) </w:t>
      </w:r>
      <w:r w:rsidRPr="00304894">
        <w:rPr>
          <w:rFonts w:eastAsia="MS Mincho" w:cs="Calibri"/>
          <w:bCs/>
          <w:sz w:val="24"/>
          <w:szCs w:val="24"/>
          <w:lang w:val="en-GB"/>
        </w:rPr>
        <w:t>Stratified analysis by the presence and/or absence of rheumatoid factor (RF) and/or anti-citrullinated peptide antibodies (ACPA) (x-axis categories), as well as by the use, or not, of glucocorticoids.</w:t>
      </w:r>
    </w:p>
    <w:p w:rsidR="00304894" w:rsidRDefault="00304894">
      <w:pPr>
        <w:rPr>
          <w:b/>
          <w:sz w:val="28"/>
          <w:lang w:val="en-GB"/>
        </w:rPr>
      </w:pPr>
      <w:r w:rsidRPr="00304894">
        <w:rPr>
          <w:b/>
          <w:noProof/>
          <w:sz w:val="28"/>
          <w:lang w:val="en-US"/>
        </w:rPr>
        <w:drawing>
          <wp:inline distT="0" distB="0" distL="0" distR="0">
            <wp:extent cx="5795237" cy="4337717"/>
            <wp:effectExtent l="0" t="0" r="0" b="571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082" cy="436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894" w:rsidRDefault="00304894">
      <w:pPr>
        <w:rPr>
          <w:b/>
          <w:sz w:val="28"/>
          <w:lang w:val="en-GB"/>
        </w:rPr>
      </w:pPr>
    </w:p>
    <w:p w:rsidR="00304894" w:rsidRDefault="00304894">
      <w:pPr>
        <w:rPr>
          <w:b/>
          <w:sz w:val="28"/>
          <w:lang w:val="en-GB"/>
        </w:rPr>
      </w:pPr>
      <w:r>
        <w:rPr>
          <w:b/>
          <w:sz w:val="28"/>
          <w:lang w:val="en-GB"/>
        </w:rPr>
        <w:br w:type="page"/>
      </w:r>
    </w:p>
    <w:p w:rsidR="00304894" w:rsidRPr="00304894" w:rsidRDefault="00304894">
      <w:pPr>
        <w:rPr>
          <w:sz w:val="28"/>
          <w:lang w:val="en-GB"/>
        </w:rPr>
      </w:pPr>
      <w:r>
        <w:rPr>
          <w:b/>
          <w:sz w:val="28"/>
          <w:lang w:val="en-GB"/>
        </w:rPr>
        <w:lastRenderedPageBreak/>
        <w:t>Table S</w:t>
      </w:r>
      <w:r w:rsidR="00C91A79">
        <w:rPr>
          <w:b/>
          <w:sz w:val="28"/>
          <w:lang w:val="en-GB"/>
        </w:rPr>
        <w:t>1</w:t>
      </w:r>
      <w:r>
        <w:rPr>
          <w:b/>
          <w:sz w:val="28"/>
          <w:lang w:val="en-GB"/>
        </w:rPr>
        <w:t>. Disease activity indices at baseline in subgroups by RF and ACPA positivity, as well as by glucocorticoid use, or not.</w:t>
      </w:r>
    </w:p>
    <w:p w:rsidR="00304894" w:rsidRPr="00304894" w:rsidRDefault="00304894">
      <w:pPr>
        <w:rPr>
          <w:b/>
          <w:sz w:val="28"/>
          <w:lang w:val="en-GB"/>
        </w:rPr>
      </w:pPr>
      <w:bookmarkStart w:id="0" w:name="_GoBack"/>
      <w:r w:rsidRPr="00304894">
        <w:rPr>
          <w:b/>
          <w:noProof/>
          <w:sz w:val="28"/>
          <w:lang w:val="en-US"/>
        </w:rPr>
        <w:drawing>
          <wp:inline distT="0" distB="0" distL="0" distR="0">
            <wp:extent cx="5489247" cy="3684007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907" cy="375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04894" w:rsidRPr="00304894" w:rsidSect="00645E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Segoe UI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hyphenationZone w:val="425"/>
  <w:characterSpacingControl w:val="doNotCompress"/>
  <w:compat/>
  <w:rsids>
    <w:rsidRoot w:val="00304894"/>
    <w:rsid w:val="00015EF8"/>
    <w:rsid w:val="000818CF"/>
    <w:rsid w:val="00304894"/>
    <w:rsid w:val="00376D0E"/>
    <w:rsid w:val="00387AC1"/>
    <w:rsid w:val="00494A0A"/>
    <w:rsid w:val="00645EE7"/>
    <w:rsid w:val="00AC2E92"/>
    <w:rsid w:val="00C91A79"/>
    <w:rsid w:val="00F67F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E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1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A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</dc:creator>
  <cp:keywords/>
  <dc:description/>
  <cp:lastModifiedBy>edeorico</cp:lastModifiedBy>
  <cp:revision>4</cp:revision>
  <dcterms:created xsi:type="dcterms:W3CDTF">2015-03-13T08:28:00Z</dcterms:created>
  <dcterms:modified xsi:type="dcterms:W3CDTF">2015-08-05T16:22:00Z</dcterms:modified>
</cp:coreProperties>
</file>