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F34" w:rsidRDefault="00A47F34" w:rsidP="007C27BC">
      <w:pPr>
        <w:tabs>
          <w:tab w:val="left" w:pos="180"/>
        </w:tabs>
        <w:autoSpaceDE w:val="0"/>
        <w:autoSpaceDN w:val="0"/>
        <w:adjustRightInd w:val="0"/>
        <w:jc w:val="center"/>
        <w:rPr>
          <w:b/>
          <w:bCs/>
          <w:color w:val="5B9BD5" w:themeColor="accent1"/>
          <w:sz w:val="24"/>
          <w:szCs w:val="24"/>
        </w:rPr>
      </w:pPr>
      <w:bookmarkStart w:id="0" w:name="_GoBack"/>
      <w:r w:rsidRPr="00A47F34">
        <w:rPr>
          <w:b/>
          <w:bCs/>
          <w:noProof/>
          <w:color w:val="5B9BD5" w:themeColor="accent1"/>
          <w:sz w:val="24"/>
          <w:szCs w:val="24"/>
        </w:rPr>
        <w:drawing>
          <wp:inline distT="0" distB="0" distL="0" distR="0">
            <wp:extent cx="4457700" cy="1390650"/>
            <wp:effectExtent l="0" t="0" r="0" b="0"/>
            <wp:docPr id="1" name="Picture 1" descr="F:\AECOM-MSSM\papers\curcumin\Figures\S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ECOM-MSSM\papers\curcumin\Figures\SFig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7F34" w:rsidRDefault="00A47F34" w:rsidP="00A47F34">
      <w:pPr>
        <w:tabs>
          <w:tab w:val="left" w:pos="180"/>
        </w:tabs>
        <w:autoSpaceDE w:val="0"/>
        <w:autoSpaceDN w:val="0"/>
        <w:adjustRightInd w:val="0"/>
        <w:rPr>
          <w:b/>
          <w:bCs/>
          <w:color w:val="5B9BD5" w:themeColor="accent1"/>
          <w:sz w:val="24"/>
          <w:szCs w:val="24"/>
        </w:rPr>
      </w:pPr>
    </w:p>
    <w:p w:rsidR="00A47F34" w:rsidRPr="00F466EA" w:rsidRDefault="00A47F34" w:rsidP="00A47F34">
      <w:pPr>
        <w:tabs>
          <w:tab w:val="left" w:pos="180"/>
        </w:tabs>
        <w:autoSpaceDE w:val="0"/>
        <w:autoSpaceDN w:val="0"/>
        <w:adjustRightInd w:val="0"/>
        <w:rPr>
          <w:bCs/>
          <w:color w:val="5B9BD5" w:themeColor="accent1"/>
          <w:sz w:val="24"/>
          <w:szCs w:val="24"/>
        </w:rPr>
      </w:pPr>
      <w:r w:rsidRPr="00A47F34">
        <w:rPr>
          <w:b/>
          <w:bCs/>
          <w:color w:val="000000" w:themeColor="text1"/>
          <w:sz w:val="24"/>
          <w:szCs w:val="24"/>
        </w:rPr>
        <w:t xml:space="preserve">Figure S1. Non-encapsulated curcumin reduces MMP-13 mRNA expression in a dose (A) and time (B) -dependent manner.  </w:t>
      </w:r>
      <w:r w:rsidRPr="00A47F34">
        <w:rPr>
          <w:color w:val="000000" w:themeColor="text1"/>
          <w:sz w:val="24"/>
          <w:szCs w:val="24"/>
        </w:rPr>
        <w:t xml:space="preserve">Human primary chondrocytes were treated with curcumin at indicated concentrations (0-200µM) for 6 hours (A) or treated with curcumin at 100 µM at different durations (0-48 hours) (B) in the presence of IL-1β.  *p&lt;0.05, t-test or one-way ANOVA with Tukey post-hoc test, n=3/group. </w:t>
      </w:r>
      <w:r w:rsidRPr="00F466EA">
        <w:rPr>
          <w:color w:val="5B9BD5" w:themeColor="accent1"/>
          <w:sz w:val="24"/>
          <w:szCs w:val="24"/>
        </w:rPr>
        <w:t xml:space="preserve"> </w:t>
      </w:r>
    </w:p>
    <w:p w:rsidR="00086EF8" w:rsidRDefault="00086EF8"/>
    <w:sectPr w:rsidR="00086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F34"/>
    <w:rsid w:val="00086EF8"/>
    <w:rsid w:val="007C27BC"/>
    <w:rsid w:val="00A4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88B75A-FEAF-46D8-991D-4E00B28B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F34"/>
    <w:pPr>
      <w:spacing w:line="240" w:lineRule="auto"/>
    </w:pPr>
    <w:rPr>
      <w:rFonts w:eastAsia="MS Mincho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L</dc:creator>
  <cp:keywords/>
  <dc:description/>
  <cp:lastModifiedBy>Dan L</cp:lastModifiedBy>
  <cp:revision>2</cp:revision>
  <dcterms:created xsi:type="dcterms:W3CDTF">2016-04-15T23:49:00Z</dcterms:created>
  <dcterms:modified xsi:type="dcterms:W3CDTF">2016-04-16T00:03:00Z</dcterms:modified>
</cp:coreProperties>
</file>