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E3A" w:rsidRDefault="00C22E3A" w:rsidP="00C22E3A">
      <w:pPr>
        <w:pStyle w:val="Title"/>
      </w:pPr>
      <w:r>
        <w:t>Additional File 2</w:t>
      </w:r>
    </w:p>
    <w:p w:rsidR="00C22E3A" w:rsidRPr="00D41041" w:rsidRDefault="00C22E3A" w:rsidP="00C22E3A">
      <w:pPr>
        <w:pStyle w:val="Heading1"/>
      </w:pPr>
      <w:r>
        <w:t xml:space="preserve">Supplementary </w:t>
      </w:r>
      <w:r w:rsidRPr="00D41041">
        <w:t>Results</w:t>
      </w:r>
    </w:p>
    <w:p w:rsidR="00C22E3A" w:rsidRPr="00D41041" w:rsidRDefault="00C22E3A" w:rsidP="00C22E3A">
      <w:pPr>
        <w:pStyle w:val="Heading2"/>
      </w:pPr>
      <w:r w:rsidRPr="00D41041">
        <w:t>DAS28 is predominantly associated with IgG glycosylation</w:t>
      </w:r>
    </w:p>
    <w:p w:rsidR="00C22E3A" w:rsidRPr="00D41041" w:rsidRDefault="00C22E3A" w:rsidP="00C22E3A">
      <w:pPr>
        <w:spacing w:line="480" w:lineRule="auto"/>
      </w:pPr>
      <w:r>
        <w:t>The association between disease activity and glycosylation was explored using a b</w:t>
      </w:r>
      <w:r w:rsidRPr="00D41041">
        <w:t>ootstrap analysis of the backward elimination procedure for multivariate regression analysis</w:t>
      </w:r>
      <w:r>
        <w:t xml:space="preserve">.  The analysis </w:t>
      </w:r>
      <w:r w:rsidRPr="00D41041">
        <w:t xml:space="preserve">revealed that especially IgG sialylation was often included in the models for predicting RA disease activity. Interestingly, while the IgG1 sialylation traits are primarily (60-66% of the total counts) included after delivery, the combined IgG2 and IgG3 sialylation traits are primarily (69-76%) included in pregnancy-associated models. Furthermore, IgA O-glycan numbers of </w:t>
      </w:r>
      <w:proofErr w:type="spellStart"/>
      <w:r w:rsidRPr="00D41041">
        <w:t>GalNAcs</w:t>
      </w:r>
      <w:proofErr w:type="spellEnd"/>
      <w:r w:rsidRPr="00D41041">
        <w:t xml:space="preserve"> and galactoses are regularly included, with distributions comparable to IgG1 sialylation traits. Sialylation of IgA Asn144 and bisection of IgA Asn340 were also found among the top hits, but no difference in scoring during or after delivery was observed.</w:t>
      </w:r>
    </w:p>
    <w:p w:rsidR="00C22E3A" w:rsidRPr="00D41041" w:rsidRDefault="00C22E3A" w:rsidP="00C22E3A">
      <w:pPr>
        <w:spacing w:line="480" w:lineRule="auto"/>
      </w:pPr>
      <w:r w:rsidRPr="00D41041">
        <w:t>Indeed, when the variables obtained from the bootstrap procedure are incorporated in multivariate models using the disease activity as the dependent variable highly significant models are generated. At the first trimester IgG2/3 sialylation (β=-0.6; p=1.9e-3) and sialic acid per galactose (β=0.5; p=2.5e-4) are associated with the disease activity (model p=0.0000; R</w:t>
      </w:r>
      <w:r w:rsidRPr="00E073A9">
        <w:rPr>
          <w:vertAlign w:val="superscript"/>
        </w:rPr>
        <w:t>2</w:t>
      </w:r>
      <w:r w:rsidRPr="00D41041">
        <w:t>=0.32). At the second trimester (model p=0.0000; R</w:t>
      </w:r>
      <w:r w:rsidRPr="00E073A9">
        <w:rPr>
          <w:vertAlign w:val="superscript"/>
        </w:rPr>
        <w:t>2</w:t>
      </w:r>
      <w:r w:rsidRPr="00D41041">
        <w:t xml:space="preserve">=0.37) IgG1 sialylation (β=2.4; p=0.029), IgG1 </w:t>
      </w:r>
      <w:proofErr w:type="spellStart"/>
      <w:r w:rsidRPr="00D41041">
        <w:t>galactosylation</w:t>
      </w:r>
      <w:proofErr w:type="spellEnd"/>
      <w:r w:rsidRPr="00D41041">
        <w:t xml:space="preserve"> (β=-1.7; p=0.011), and IgG2/3 sialylation (β=-0.5; p=0.036) are associated with disease activity, as well as Asn340 bisection (β=0.2; p=0.043). Remarkably, at the third trimester (model p=0.0000; R</w:t>
      </w:r>
      <w:r w:rsidRPr="00E073A9">
        <w:rPr>
          <w:vertAlign w:val="superscript"/>
        </w:rPr>
        <w:t>2</w:t>
      </w:r>
      <w:r w:rsidRPr="00D41041">
        <w:t xml:space="preserve">=0.36) the use of prednisone (β=0.3; p=8.9e-5), autoantibody positivity (β=0.2; p=0.019), and the presence of </w:t>
      </w:r>
      <w:proofErr w:type="spellStart"/>
      <w:r w:rsidRPr="00D41041">
        <w:t>triantennary</w:t>
      </w:r>
      <w:proofErr w:type="spellEnd"/>
      <w:r w:rsidRPr="00D41041">
        <w:t xml:space="preserve"> </w:t>
      </w:r>
      <w:proofErr w:type="spellStart"/>
      <w:r w:rsidRPr="00D41041">
        <w:t>glycans</w:t>
      </w:r>
      <w:proofErr w:type="spellEnd"/>
      <w:r w:rsidRPr="00D41041">
        <w:t xml:space="preserve"> at IgA Asn340 (β=0.2; p=0.043) show positive associations with disease activity, and a negative association was observed for bisection at Asn340 (β=-0.3; p=0.013).</w:t>
      </w:r>
    </w:p>
    <w:p w:rsidR="00C22E3A" w:rsidRDefault="00C22E3A" w:rsidP="00C22E3A">
      <w:pPr>
        <w:spacing w:line="480" w:lineRule="auto"/>
      </w:pPr>
      <w:r w:rsidRPr="00D41041">
        <w:t>Six weeks after delivery none of the included covariates is significantly associating with disease activity, although the model has a p-value of 0.0003 and an R</w:t>
      </w:r>
      <w:r w:rsidRPr="00E073A9">
        <w:rPr>
          <w:vertAlign w:val="superscript"/>
        </w:rPr>
        <w:t>2</w:t>
      </w:r>
      <w:r w:rsidRPr="00D41041">
        <w:t xml:space="preserve"> of 0.26. However, twelve weeks after </w:t>
      </w:r>
      <w:r w:rsidRPr="00D41041">
        <w:lastRenderedPageBreak/>
        <w:t xml:space="preserve">delivery </w:t>
      </w:r>
      <w:r>
        <w:t xml:space="preserve">(model p=0.0000; </w:t>
      </w:r>
      <w:r w:rsidRPr="00E073A9">
        <w:t>R</w:t>
      </w:r>
      <w:r w:rsidRPr="00E073A9">
        <w:rPr>
          <w:vertAlign w:val="superscript"/>
        </w:rPr>
        <w:t>2</w:t>
      </w:r>
      <w:r>
        <w:t xml:space="preserve">=0.26) </w:t>
      </w:r>
      <w:r w:rsidRPr="00E073A9">
        <w:t>IgG1</w:t>
      </w:r>
      <w:r w:rsidRPr="00D41041">
        <w:t xml:space="preserve"> sialylation (β=-0.6; p=7.3e-4) and sialic acid per galactose (β=0.5; p=1.2e-4) were found to associate with disease activity, similar to the first trimester of pregnancy, although on a different subclass. At six months after delivery IgG1 sialylation (β=-0.8; p=5.9e-3) was negatively associated with disease activity</w:t>
      </w:r>
      <w:r>
        <w:t xml:space="preserve"> in a model with an R</w:t>
      </w:r>
      <w:r w:rsidRPr="00E073A9">
        <w:rPr>
          <w:vertAlign w:val="superscript"/>
        </w:rPr>
        <w:t>2</w:t>
      </w:r>
      <w:r>
        <w:t xml:space="preserve"> of 0.27 (p=0.0005)</w:t>
      </w:r>
      <w:r w:rsidRPr="00D41041">
        <w:t>.</w:t>
      </w:r>
    </w:p>
    <w:p w:rsidR="00C22E3A" w:rsidRDefault="00C22E3A" w:rsidP="00C22E3A">
      <w:pPr>
        <w:spacing w:line="480" w:lineRule="auto"/>
      </w:pPr>
    </w:p>
    <w:p w:rsidR="00C22E3A" w:rsidRPr="00D41041" w:rsidRDefault="00C22E3A" w:rsidP="00C22E3A">
      <w:pPr>
        <w:pStyle w:val="EndNoteBibliography"/>
        <w:ind w:left="720" w:hanging="720"/>
      </w:pPr>
      <w:r>
        <w:rPr>
          <w:lang w:val="en-GB"/>
        </w:rPr>
        <w:fldChar w:fldCharType="begin"/>
      </w:r>
      <w:r w:rsidRPr="00314CFF">
        <w:rPr>
          <w:lang w:val="nl-NL"/>
        </w:rPr>
        <w:instrText xml:space="preserve"> ADDIN EN.REFLIST </w:instrText>
      </w:r>
      <w:r>
        <w:rPr>
          <w:lang w:val="en-GB"/>
        </w:rPr>
        <w:fldChar w:fldCharType="separate"/>
      </w:r>
      <w:bookmarkStart w:id="0" w:name="_ENREF_1"/>
      <w:r w:rsidRPr="00314CFF">
        <w:rPr>
          <w:lang w:val="nl-NL"/>
        </w:rPr>
        <w:t xml:space="preserve">1. Bondt A, Nicolardi S, Jansen BC, et al. </w:t>
      </w:r>
      <w:r w:rsidRPr="00D41041">
        <w:t xml:space="preserve">Longitudinal monitoring of immunoglobulin A glycosylation during pregnancy by simultaneous MALDI-FTICR-MS analysis of N- and O-glycopeptides. </w:t>
      </w:r>
      <w:r w:rsidRPr="00D41041">
        <w:rPr>
          <w:i/>
        </w:rPr>
        <w:t>Sci Rep</w:t>
      </w:r>
      <w:r w:rsidRPr="00D41041">
        <w:t xml:space="preserve"> 2016;6:27955. doi: 10.1038/srep27955</w:t>
      </w:r>
      <w:bookmarkEnd w:id="0"/>
    </w:p>
    <w:p w:rsidR="00AC147F" w:rsidRDefault="00C22E3A" w:rsidP="0039456E">
      <w:pPr>
        <w:spacing w:line="480" w:lineRule="auto"/>
      </w:pPr>
      <w:r>
        <w:fldChar w:fldCharType="end"/>
      </w:r>
      <w:bookmarkStart w:id="1" w:name="_GoBack"/>
      <w:bookmarkEnd w:id="1"/>
    </w:p>
    <w:sectPr w:rsidR="00AC147F" w:rsidSect="0039456E">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2E3A"/>
    <w:rsid w:val="0039456E"/>
    <w:rsid w:val="00AC147F"/>
    <w:rsid w:val="00C22E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C22E3A"/>
    <w:pPr>
      <w:keepNext/>
      <w:keepLines/>
      <w:spacing w:before="240" w:after="0" w:line="480" w:lineRule="auto"/>
      <w:jc w:val="both"/>
      <w:outlineLvl w:val="0"/>
    </w:pPr>
    <w:rPr>
      <w:rFonts w:ascii="Calibri Light" w:eastAsia="Times New Roman" w:hAnsi="Calibri Light"/>
      <w:b/>
      <w:caps/>
      <w:sz w:val="32"/>
      <w:szCs w:val="32"/>
    </w:rPr>
  </w:style>
  <w:style w:type="paragraph" w:styleId="Heading2">
    <w:name w:val="heading 2"/>
    <w:basedOn w:val="Normal"/>
    <w:next w:val="Normal"/>
    <w:link w:val="Heading2Char"/>
    <w:uiPriority w:val="9"/>
    <w:unhideWhenUsed/>
    <w:qFormat/>
    <w:rsid w:val="00C22E3A"/>
    <w:pPr>
      <w:keepNext/>
      <w:keepLines/>
      <w:spacing w:before="40" w:after="0" w:line="480" w:lineRule="auto"/>
      <w:jc w:val="both"/>
      <w:outlineLvl w:val="1"/>
    </w:pPr>
    <w:rPr>
      <w:rFonts w:ascii="Calibri Light" w:eastAsia="Times New Roman" w:hAnsi="Calibri Light"/>
      <w:b/>
      <w:sz w:val="26"/>
      <w:szCs w:val="26"/>
    </w:rPr>
  </w:style>
  <w:style w:type="paragraph" w:styleId="Heading3">
    <w:name w:val="heading 3"/>
    <w:basedOn w:val="Normal"/>
    <w:next w:val="Normal"/>
    <w:link w:val="Heading3Char"/>
    <w:uiPriority w:val="9"/>
    <w:unhideWhenUsed/>
    <w:qFormat/>
    <w:rsid w:val="00C22E3A"/>
    <w:pPr>
      <w:spacing w:after="0" w:line="480" w:lineRule="auto"/>
      <w:contextualSpacing/>
      <w:jc w:val="both"/>
      <w:outlineLvl w:val="2"/>
    </w:pPr>
    <w:rPr>
      <w:rFonts w:ascii="Myriad Pro" w:hAnsi="Myriad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E3A"/>
    <w:rPr>
      <w:rFonts w:ascii="Calibri Light" w:eastAsia="Times New Roman" w:hAnsi="Calibri Light"/>
      <w:b/>
      <w:caps/>
      <w:sz w:val="32"/>
      <w:szCs w:val="32"/>
      <w:lang w:eastAsia="en-US"/>
    </w:rPr>
  </w:style>
  <w:style w:type="character" w:customStyle="1" w:styleId="Heading2Char">
    <w:name w:val="Heading 2 Char"/>
    <w:basedOn w:val="DefaultParagraphFont"/>
    <w:link w:val="Heading2"/>
    <w:uiPriority w:val="9"/>
    <w:rsid w:val="00C22E3A"/>
    <w:rPr>
      <w:rFonts w:ascii="Calibri Light" w:eastAsia="Times New Roman" w:hAnsi="Calibri Light"/>
      <w:b/>
      <w:sz w:val="26"/>
      <w:szCs w:val="26"/>
      <w:lang w:eastAsia="en-US"/>
    </w:rPr>
  </w:style>
  <w:style w:type="character" w:customStyle="1" w:styleId="Heading3Char">
    <w:name w:val="Heading 3 Char"/>
    <w:basedOn w:val="DefaultParagraphFont"/>
    <w:link w:val="Heading3"/>
    <w:uiPriority w:val="9"/>
    <w:rsid w:val="00C22E3A"/>
    <w:rPr>
      <w:rFonts w:ascii="Myriad Pro" w:hAnsi="Myriad Pro"/>
      <w:sz w:val="22"/>
      <w:szCs w:val="22"/>
      <w:lang w:eastAsia="en-US"/>
    </w:rPr>
  </w:style>
  <w:style w:type="character" w:styleId="CommentReference">
    <w:name w:val="annotation reference"/>
    <w:uiPriority w:val="99"/>
    <w:semiHidden/>
    <w:unhideWhenUsed/>
    <w:rsid w:val="00C22E3A"/>
    <w:rPr>
      <w:sz w:val="16"/>
      <w:szCs w:val="16"/>
    </w:rPr>
  </w:style>
  <w:style w:type="paragraph" w:styleId="CommentText">
    <w:name w:val="annotation text"/>
    <w:basedOn w:val="Normal"/>
    <w:link w:val="CommentTextChar"/>
    <w:uiPriority w:val="99"/>
    <w:unhideWhenUsed/>
    <w:rsid w:val="00C22E3A"/>
    <w:pPr>
      <w:spacing w:after="0" w:line="240" w:lineRule="auto"/>
      <w:contextualSpacing/>
      <w:jc w:val="both"/>
    </w:pPr>
    <w:rPr>
      <w:rFonts w:ascii="Myriad Pro" w:hAnsi="Myriad Pro"/>
      <w:sz w:val="20"/>
      <w:szCs w:val="20"/>
    </w:rPr>
  </w:style>
  <w:style w:type="character" w:customStyle="1" w:styleId="CommentTextChar">
    <w:name w:val="Comment Text Char"/>
    <w:basedOn w:val="DefaultParagraphFont"/>
    <w:link w:val="CommentText"/>
    <w:uiPriority w:val="99"/>
    <w:rsid w:val="00C22E3A"/>
    <w:rPr>
      <w:rFonts w:ascii="Myriad Pro" w:hAnsi="Myriad Pro"/>
      <w:lang w:eastAsia="en-US"/>
    </w:rPr>
  </w:style>
  <w:style w:type="paragraph" w:styleId="BalloonText">
    <w:name w:val="Balloon Text"/>
    <w:basedOn w:val="Normal"/>
    <w:link w:val="BalloonTextChar"/>
    <w:uiPriority w:val="99"/>
    <w:semiHidden/>
    <w:unhideWhenUsed/>
    <w:rsid w:val="00C22E3A"/>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C22E3A"/>
    <w:rPr>
      <w:rFonts w:ascii="Segoe UI" w:hAnsi="Segoe UI" w:cs="Segoe UI"/>
      <w:sz w:val="18"/>
      <w:szCs w:val="18"/>
      <w:lang w:val="en-US" w:eastAsia="en-US"/>
    </w:rPr>
  </w:style>
  <w:style w:type="paragraph" w:customStyle="1" w:styleId="EndNoteBibliographyTitle">
    <w:name w:val="EndNote Bibliography Title"/>
    <w:basedOn w:val="Normal"/>
    <w:link w:val="EndNoteBibliographyTitleChar"/>
    <w:rsid w:val="00C22E3A"/>
    <w:pPr>
      <w:spacing w:after="0" w:line="259" w:lineRule="auto"/>
      <w:jc w:val="center"/>
    </w:pPr>
    <w:rPr>
      <w:noProof/>
      <w:lang w:val="en-US"/>
    </w:rPr>
  </w:style>
  <w:style w:type="character" w:customStyle="1" w:styleId="EndNoteBibliographyTitleChar">
    <w:name w:val="EndNote Bibliography Title Char"/>
    <w:link w:val="EndNoteBibliographyTitle"/>
    <w:rsid w:val="00C22E3A"/>
    <w:rPr>
      <w:noProof/>
      <w:sz w:val="22"/>
      <w:szCs w:val="22"/>
      <w:lang w:val="en-US" w:eastAsia="en-US"/>
    </w:rPr>
  </w:style>
  <w:style w:type="paragraph" w:customStyle="1" w:styleId="EndNoteBibliography">
    <w:name w:val="EndNote Bibliography"/>
    <w:basedOn w:val="Normal"/>
    <w:link w:val="EndNoteBibliographyChar"/>
    <w:rsid w:val="00C22E3A"/>
    <w:pPr>
      <w:spacing w:after="160" w:line="240" w:lineRule="auto"/>
    </w:pPr>
    <w:rPr>
      <w:noProof/>
      <w:lang w:val="en-US"/>
    </w:rPr>
  </w:style>
  <w:style w:type="character" w:customStyle="1" w:styleId="EndNoteBibliographyChar">
    <w:name w:val="EndNote Bibliography Char"/>
    <w:link w:val="EndNoteBibliography"/>
    <w:rsid w:val="00C22E3A"/>
    <w:rPr>
      <w:noProof/>
      <w:sz w:val="22"/>
      <w:szCs w:val="22"/>
      <w:lang w:val="en-US" w:eastAsia="en-US"/>
    </w:rPr>
  </w:style>
  <w:style w:type="paragraph" w:styleId="Title">
    <w:name w:val="Title"/>
    <w:basedOn w:val="Normal"/>
    <w:next w:val="Normal"/>
    <w:link w:val="TitleChar"/>
    <w:uiPriority w:val="10"/>
    <w:qFormat/>
    <w:rsid w:val="00C22E3A"/>
    <w:pPr>
      <w:spacing w:after="0" w:line="240" w:lineRule="auto"/>
      <w:contextualSpacing/>
    </w:pPr>
    <w:rPr>
      <w:rFonts w:ascii="Cambria" w:eastAsia="Times New Roman" w:hAnsi="Cambria"/>
      <w:spacing w:val="-10"/>
      <w:kern w:val="28"/>
      <w:sz w:val="56"/>
      <w:szCs w:val="56"/>
      <w:lang w:val="en-US"/>
    </w:rPr>
  </w:style>
  <w:style w:type="character" w:customStyle="1" w:styleId="TitleChar">
    <w:name w:val="Title Char"/>
    <w:basedOn w:val="DefaultParagraphFont"/>
    <w:link w:val="Title"/>
    <w:uiPriority w:val="10"/>
    <w:rsid w:val="00C22E3A"/>
    <w:rPr>
      <w:rFonts w:ascii="Cambria" w:eastAsia="Times New Roman" w:hAnsi="Cambria"/>
      <w:spacing w:val="-10"/>
      <w:kern w:val="28"/>
      <w:sz w:val="56"/>
      <w:szCs w:val="56"/>
      <w:lang w:val="en-US" w:eastAsia="en-US"/>
    </w:rPr>
  </w:style>
  <w:style w:type="paragraph" w:styleId="ListParagraph">
    <w:name w:val="List Paragraph"/>
    <w:basedOn w:val="Normal"/>
    <w:uiPriority w:val="34"/>
    <w:qFormat/>
    <w:rsid w:val="00C22E3A"/>
    <w:pPr>
      <w:spacing w:after="160" w:line="259" w:lineRule="auto"/>
      <w:ind w:left="720"/>
      <w:contextualSpacing/>
    </w:pPr>
    <w:rPr>
      <w:lang w:val="en-US"/>
    </w:rPr>
  </w:style>
  <w:style w:type="paragraph" w:styleId="CommentSubject">
    <w:name w:val="annotation subject"/>
    <w:basedOn w:val="CommentText"/>
    <w:next w:val="CommentText"/>
    <w:link w:val="CommentSubjectChar"/>
    <w:uiPriority w:val="99"/>
    <w:semiHidden/>
    <w:unhideWhenUsed/>
    <w:rsid w:val="00C22E3A"/>
    <w:pPr>
      <w:spacing w:after="160"/>
      <w:contextualSpacing w:val="0"/>
      <w:jc w:val="left"/>
    </w:pPr>
    <w:rPr>
      <w:rFonts w:ascii="Calibri" w:hAnsi="Calibri"/>
      <w:b/>
      <w:bCs/>
      <w:lang w:val="en-US"/>
    </w:rPr>
  </w:style>
  <w:style w:type="character" w:customStyle="1" w:styleId="CommentSubjectChar">
    <w:name w:val="Comment Subject Char"/>
    <w:basedOn w:val="CommentTextChar"/>
    <w:link w:val="CommentSubject"/>
    <w:uiPriority w:val="99"/>
    <w:semiHidden/>
    <w:rsid w:val="00C22E3A"/>
    <w:rPr>
      <w:rFonts w:ascii="Myriad Pro" w:hAnsi="Myriad Pr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2E6CAA3E</Template>
  <TotalTime>2</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LUMC</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abondt</dc:creator>
  <cp:lastModifiedBy>abondt</cp:lastModifiedBy>
  <cp:revision>2</cp:revision>
  <dcterms:created xsi:type="dcterms:W3CDTF">2017-05-30T20:59:00Z</dcterms:created>
  <dcterms:modified xsi:type="dcterms:W3CDTF">2017-05-30T21:09:00Z</dcterms:modified>
</cp:coreProperties>
</file>