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679"/>
        <w:tblW w:w="13283" w:type="dxa"/>
        <w:tblLook w:val="04A0" w:firstRow="1" w:lastRow="0" w:firstColumn="1" w:lastColumn="0" w:noHBand="0" w:noVBand="1"/>
      </w:tblPr>
      <w:tblGrid>
        <w:gridCol w:w="2979"/>
        <w:gridCol w:w="2560"/>
        <w:gridCol w:w="2616"/>
        <w:gridCol w:w="2564"/>
        <w:gridCol w:w="2564"/>
      </w:tblGrid>
      <w:tr w:rsidR="00586A04" w:rsidRPr="00586A04" w:rsidTr="00586A04">
        <w:trPr>
          <w:trHeight w:val="360"/>
        </w:trPr>
        <w:tc>
          <w:tcPr>
            <w:tcW w:w="297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Variable (n=297)</w:t>
            </w:r>
          </w:p>
        </w:tc>
        <w:tc>
          <w:tcPr>
            <w:tcW w:w="51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Multivariate Cox </w:t>
            </w:r>
            <w:proofErr w:type="spellStart"/>
            <w:r w:rsidRPr="00586A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Analysis</w:t>
            </w:r>
            <w:r w:rsidRPr="00586A04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en-GB"/>
              </w:rPr>
              <w:t>a</w:t>
            </w:r>
            <w:proofErr w:type="spellEnd"/>
          </w:p>
        </w:tc>
        <w:tc>
          <w:tcPr>
            <w:tcW w:w="51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Multivariate Competing Risks </w:t>
            </w:r>
            <w:proofErr w:type="spellStart"/>
            <w:r w:rsidRPr="00586A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Analysis</w:t>
            </w:r>
            <w:r w:rsidRPr="00586A04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en-GB"/>
              </w:rPr>
              <w:t>b</w:t>
            </w:r>
            <w:proofErr w:type="spellEnd"/>
          </w:p>
        </w:tc>
      </w:tr>
      <w:tr w:rsidR="00586A04" w:rsidRPr="00586A04" w:rsidTr="00586A04">
        <w:trPr>
          <w:trHeight w:val="315"/>
        </w:trPr>
        <w:tc>
          <w:tcPr>
            <w:tcW w:w="297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51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Reason for MTX failure</w:t>
            </w:r>
          </w:p>
        </w:tc>
        <w:tc>
          <w:tcPr>
            <w:tcW w:w="51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Reason for MTX failure</w:t>
            </w:r>
          </w:p>
        </w:tc>
      </w:tr>
      <w:tr w:rsidR="00586A04" w:rsidRPr="00586A04" w:rsidTr="00586A04">
        <w:trPr>
          <w:trHeight w:val="315"/>
        </w:trPr>
        <w:tc>
          <w:tcPr>
            <w:tcW w:w="297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Adverse event (N=39)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Inefficacy (N=119)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Adverse event (N=39)</w:t>
            </w:r>
          </w:p>
        </w:tc>
        <w:tc>
          <w:tcPr>
            <w:tcW w:w="25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Inefficacy (N=119)</w:t>
            </w:r>
          </w:p>
        </w:tc>
      </w:tr>
      <w:tr w:rsidR="00586A04" w:rsidRPr="00586A04" w:rsidTr="00D230A3">
        <w:trPr>
          <w:trHeight w:val="300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Age of disease onset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NR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0.98 (0.96, 0.99), </w:t>
            </w:r>
            <w:r w:rsidRPr="00586A04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p</w:t>
            </w: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=</w:t>
            </w:r>
            <w:r w:rsidRPr="00586A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0.002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NR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0.98 (0.96, 0.99) p=</w:t>
            </w:r>
            <w:r w:rsidRPr="00586A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0.04</w:t>
            </w:r>
          </w:p>
        </w:tc>
      </w:tr>
      <w:tr w:rsidR="00586A04" w:rsidRPr="00586A04" w:rsidTr="00D230A3">
        <w:trPr>
          <w:trHeight w:val="300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Female gender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2.14 (0.29, 4.87) p=0.068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1.25 (0.80, 1.95) </w:t>
            </w:r>
            <w:r w:rsidRPr="00586A04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p</w:t>
            </w: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=0.322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2.03 (0.90, 4.61) p=0.090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1.12 (0.70, 1.77) p=0.634</w:t>
            </w:r>
          </w:p>
        </w:tc>
      </w:tr>
      <w:tr w:rsidR="00586A04" w:rsidRPr="00586A04" w:rsidTr="00D230A3">
        <w:trPr>
          <w:trHeight w:val="300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BMI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NR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1.03 (0.99, 1.06) </w:t>
            </w:r>
            <w:r w:rsidRPr="00586A04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p</w:t>
            </w: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=0.135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NR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1.03 (0.99, 1.06) p=0.119</w:t>
            </w:r>
          </w:p>
        </w:tc>
      </w:tr>
      <w:tr w:rsidR="00586A04" w:rsidRPr="00586A04" w:rsidTr="00D230A3">
        <w:trPr>
          <w:trHeight w:val="300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Current smoker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NR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1.55 (0.89, 2.70) </w:t>
            </w:r>
            <w:r w:rsidRPr="00586A04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p</w:t>
            </w: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=0.119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NR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1.62 (0.61, 2.75) p=0.075</w:t>
            </w:r>
          </w:p>
        </w:tc>
      </w:tr>
      <w:tr w:rsidR="00586A04" w:rsidRPr="00586A04" w:rsidTr="00D230A3">
        <w:trPr>
          <w:trHeight w:val="300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Symptom duration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NR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1.00 (1.00, 1.00) </w:t>
            </w:r>
            <w:r w:rsidRPr="00586A04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p</w:t>
            </w: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=0.208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NR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1.00 (1.00, 1.00) p=0.161</w:t>
            </w:r>
          </w:p>
        </w:tc>
      </w:tr>
      <w:tr w:rsidR="00586A04" w:rsidRPr="00586A04" w:rsidTr="00D230A3">
        <w:trPr>
          <w:trHeight w:val="300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HAQ score at baseline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1.68 (1.05, 2.67) p=0.030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1.08 (0.81, 1.44) </w:t>
            </w:r>
            <w:r w:rsidRPr="00586A04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p</w:t>
            </w: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=0.591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1.57 (1.01, 2.41) p=</w:t>
            </w:r>
            <w:r w:rsidRPr="00586A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0.010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1.01 (0.76, 1.34) p=0.962</w:t>
            </w:r>
          </w:p>
        </w:tc>
      </w:tr>
      <w:tr w:rsidR="00586A04" w:rsidRPr="00586A04" w:rsidTr="00D230A3">
        <w:trPr>
          <w:trHeight w:val="300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DAS-28(CRP) at baseline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NR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1.26 (1.05, 1.51), </w:t>
            </w:r>
            <w:r w:rsidRPr="00586A04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p</w:t>
            </w: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=</w:t>
            </w:r>
            <w:r w:rsidRPr="00586A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0.012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NR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1.21 (1.01, 1.45) p=</w:t>
            </w:r>
            <w:r w:rsidRPr="00586A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0.038</w:t>
            </w:r>
          </w:p>
        </w:tc>
      </w:tr>
      <w:tr w:rsidR="00586A04" w:rsidRPr="00586A04" w:rsidTr="00D230A3">
        <w:trPr>
          <w:trHeight w:val="300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Shared epitope homozygosity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NR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1.43 (0.71, 2.31) </w:t>
            </w:r>
            <w:r w:rsidRPr="00586A04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p</w:t>
            </w: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=0.315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NR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1.40 (0.70, 2.83) p=0.342</w:t>
            </w:r>
          </w:p>
        </w:tc>
      </w:tr>
      <w:tr w:rsidR="00586A04" w:rsidRPr="00586A04" w:rsidTr="00D230A3">
        <w:trPr>
          <w:trHeight w:val="300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Rheumatoid factor positivity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0.55 (0.29, 1.04) p=0.066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1.40 (0.89, 2.20) </w:t>
            </w:r>
            <w:r w:rsidRPr="00586A04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p</w:t>
            </w: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=0.149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0.51 (0.27, 0.79) p=</w:t>
            </w:r>
            <w:r w:rsidRPr="00586A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0.042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1.52 (0.97, 2.39) p=0.067</w:t>
            </w:r>
          </w:p>
        </w:tc>
      </w:tr>
      <w:tr w:rsidR="00586A04" w:rsidRPr="00586A04" w:rsidTr="00586A04">
        <w:trPr>
          <w:trHeight w:val="360"/>
        </w:trPr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ACPA </w:t>
            </w:r>
            <w:proofErr w:type="spellStart"/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positivity</w:t>
            </w:r>
            <w:r w:rsidRPr="00586A04">
              <w:rPr>
                <w:rFonts w:ascii="Calibri" w:eastAsia="Times New Roman" w:hAnsi="Calibri" w:cs="Times New Roman"/>
                <w:color w:val="000000"/>
                <w:vertAlign w:val="superscript"/>
                <w:lang w:eastAsia="en-GB"/>
              </w:rPr>
              <w:t>c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NR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NR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NR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6A04" w:rsidRPr="00586A04" w:rsidRDefault="00586A04" w:rsidP="00586A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6A04">
              <w:rPr>
                <w:rFonts w:ascii="Calibri" w:eastAsia="Times New Roman" w:hAnsi="Calibri" w:cs="Times New Roman"/>
                <w:color w:val="000000"/>
                <w:lang w:eastAsia="en-GB"/>
              </w:rPr>
              <w:t>NR</w:t>
            </w:r>
          </w:p>
        </w:tc>
      </w:tr>
    </w:tbl>
    <w:p w:rsidR="00586A04" w:rsidRDefault="00467798" w:rsidP="00586A04">
      <w:pPr>
        <w:pStyle w:val="Caption"/>
      </w:pPr>
      <w:r>
        <w:t>Table S4</w:t>
      </w:r>
      <w:bookmarkStart w:id="0" w:name="_GoBack"/>
      <w:bookmarkEnd w:id="0"/>
      <w:r w:rsidR="00586A04">
        <w:t xml:space="preserve">. </w:t>
      </w:r>
      <w:proofErr w:type="gramStart"/>
      <w:r w:rsidR="00586A04" w:rsidRPr="00A430E2">
        <w:rPr>
          <w:b w:val="0"/>
        </w:rPr>
        <w:t>Adverse events leading to MTX failure</w:t>
      </w:r>
      <w:r w:rsidR="00586A04">
        <w:rPr>
          <w:b w:val="0"/>
        </w:rPr>
        <w:t xml:space="preserve"> for the subgroup that fulfil 2010 ACR/EULAR RA classification criteria.</w:t>
      </w:r>
      <w:proofErr w:type="gramEnd"/>
    </w:p>
    <w:p w:rsidR="00586A04" w:rsidRPr="00586A04" w:rsidRDefault="00586A04" w:rsidP="00586A04">
      <w:pPr>
        <w:rPr>
          <w:lang w:eastAsia="en-GB"/>
        </w:rPr>
      </w:pPr>
    </w:p>
    <w:p w:rsidR="00586A04" w:rsidRPr="00586A04" w:rsidRDefault="00586A04" w:rsidP="00586A04">
      <w:pPr>
        <w:rPr>
          <w:lang w:eastAsia="en-GB"/>
        </w:rPr>
      </w:pPr>
    </w:p>
    <w:p w:rsidR="00586A04" w:rsidRPr="00586A04" w:rsidRDefault="00586A04" w:rsidP="00586A04">
      <w:pPr>
        <w:rPr>
          <w:lang w:eastAsia="en-GB"/>
        </w:rPr>
      </w:pPr>
    </w:p>
    <w:p w:rsidR="00586A04" w:rsidRPr="00586A04" w:rsidRDefault="00586A04" w:rsidP="00586A04">
      <w:pPr>
        <w:rPr>
          <w:lang w:eastAsia="en-GB"/>
        </w:rPr>
      </w:pPr>
    </w:p>
    <w:p w:rsidR="00586A04" w:rsidRPr="00586A04" w:rsidRDefault="00586A04" w:rsidP="00586A04">
      <w:pPr>
        <w:rPr>
          <w:lang w:eastAsia="en-GB"/>
        </w:rPr>
      </w:pPr>
    </w:p>
    <w:p w:rsidR="00586A04" w:rsidRPr="00586A04" w:rsidRDefault="00586A04" w:rsidP="00586A04">
      <w:pPr>
        <w:rPr>
          <w:lang w:eastAsia="en-GB"/>
        </w:rPr>
      </w:pPr>
    </w:p>
    <w:p w:rsidR="00586A04" w:rsidRPr="00586A04" w:rsidRDefault="00586A04" w:rsidP="00586A04">
      <w:pPr>
        <w:rPr>
          <w:lang w:eastAsia="en-GB"/>
        </w:rPr>
      </w:pPr>
    </w:p>
    <w:p w:rsidR="00586A04" w:rsidRPr="00586A04" w:rsidRDefault="00586A04" w:rsidP="00586A04">
      <w:pPr>
        <w:rPr>
          <w:lang w:eastAsia="en-GB"/>
        </w:rPr>
      </w:pPr>
    </w:p>
    <w:p w:rsidR="00586A04" w:rsidRDefault="00586A04" w:rsidP="00586A04">
      <w:pPr>
        <w:rPr>
          <w:lang w:eastAsia="en-GB"/>
        </w:rPr>
      </w:pPr>
    </w:p>
    <w:p w:rsidR="00586A04" w:rsidRPr="00F16683" w:rsidRDefault="00586A04" w:rsidP="00586A04">
      <w:pPr>
        <w:pStyle w:val="Caption"/>
      </w:pPr>
      <w:r w:rsidRPr="001B72D6">
        <w:rPr>
          <w:b w:val="0"/>
        </w:rPr>
        <w:t>NR: Not reported. BMI: body mass index; ACPA: anti-</w:t>
      </w:r>
      <w:proofErr w:type="spellStart"/>
      <w:r w:rsidRPr="001B72D6">
        <w:rPr>
          <w:rFonts w:eastAsia="Times New Roman" w:cs="Times New Roman"/>
          <w:b w:val="0"/>
        </w:rPr>
        <w:t>citrullinated</w:t>
      </w:r>
      <w:proofErr w:type="spellEnd"/>
      <w:r w:rsidRPr="001B72D6">
        <w:rPr>
          <w:rFonts w:eastAsia="Times New Roman" w:cs="Times New Roman"/>
          <w:b w:val="0"/>
        </w:rPr>
        <w:t xml:space="preserve"> protein </w:t>
      </w:r>
      <w:r>
        <w:rPr>
          <w:rFonts w:eastAsia="Times New Roman" w:cs="Times New Roman"/>
          <w:b w:val="0"/>
        </w:rPr>
        <w:t>antibody</w:t>
      </w:r>
      <w:r w:rsidRPr="001B72D6">
        <w:rPr>
          <w:rFonts w:eastAsia="Times New Roman" w:cs="Times New Roman"/>
          <w:b w:val="0"/>
        </w:rPr>
        <w:t>.</w:t>
      </w:r>
      <w:r w:rsidRPr="001B72D6">
        <w:rPr>
          <w:b w:val="0"/>
        </w:rPr>
        <w:t xml:space="preserve"> </w:t>
      </w:r>
      <w:proofErr w:type="spellStart"/>
      <w:proofErr w:type="gramStart"/>
      <w:r w:rsidRPr="005321CD">
        <w:rPr>
          <w:b w:val="0"/>
          <w:vertAlign w:val="superscript"/>
        </w:rPr>
        <w:t>a</w:t>
      </w:r>
      <w:r w:rsidRPr="001B72D6">
        <w:rPr>
          <w:b w:val="0"/>
        </w:rPr>
        <w:t>Values</w:t>
      </w:r>
      <w:proofErr w:type="spellEnd"/>
      <w:proofErr w:type="gramEnd"/>
      <w:r w:rsidRPr="001B72D6">
        <w:rPr>
          <w:b w:val="0"/>
        </w:rPr>
        <w:t xml:space="preserve"> are HR (95% CI). </w:t>
      </w:r>
      <w:r>
        <w:rPr>
          <w:b w:val="0"/>
        </w:rPr>
        <w:t xml:space="preserve"> </w:t>
      </w:r>
      <w:proofErr w:type="gramStart"/>
      <w:r w:rsidRPr="0048759B">
        <w:rPr>
          <w:b w:val="0"/>
          <w:vertAlign w:val="superscript"/>
        </w:rPr>
        <w:t>b</w:t>
      </w:r>
      <w:proofErr w:type="gramEnd"/>
      <w:r w:rsidRPr="0048759B">
        <w:rPr>
          <w:b w:val="0"/>
          <w:vertAlign w:val="superscript"/>
        </w:rPr>
        <w:t xml:space="preserve"> </w:t>
      </w:r>
      <w:r w:rsidRPr="0048759B">
        <w:rPr>
          <w:b w:val="0"/>
        </w:rPr>
        <w:t xml:space="preserve">Values are </w:t>
      </w:r>
      <w:proofErr w:type="spellStart"/>
      <w:r w:rsidRPr="00871F73">
        <w:rPr>
          <w:b w:val="0"/>
        </w:rPr>
        <w:t>exponentiated</w:t>
      </w:r>
      <w:proofErr w:type="spellEnd"/>
      <w:r w:rsidRPr="00871F73">
        <w:rPr>
          <w:b w:val="0"/>
        </w:rPr>
        <w:t xml:space="preserve"> coefficients (</w:t>
      </w:r>
      <w:proofErr w:type="spellStart"/>
      <w:r w:rsidRPr="00871F73">
        <w:rPr>
          <w:b w:val="0"/>
        </w:rPr>
        <w:t>exp</w:t>
      </w:r>
      <w:proofErr w:type="spellEnd"/>
      <w:r w:rsidRPr="00871F73">
        <w:rPr>
          <w:b w:val="0"/>
        </w:rPr>
        <w:t xml:space="preserve">(beta); </w:t>
      </w:r>
      <w:proofErr w:type="spellStart"/>
      <w:r w:rsidRPr="00871F73">
        <w:rPr>
          <w:b w:val="0"/>
        </w:rPr>
        <w:t>subdistribution</w:t>
      </w:r>
      <w:proofErr w:type="spellEnd"/>
      <w:r w:rsidRPr="00871F73">
        <w:rPr>
          <w:b w:val="0"/>
        </w:rPr>
        <w:t xml:space="preserve"> hazard ratio (</w:t>
      </w:r>
      <w:proofErr w:type="spellStart"/>
      <w:r w:rsidRPr="00871F73">
        <w:rPr>
          <w:b w:val="0"/>
        </w:rPr>
        <w:t>sHR</w:t>
      </w:r>
      <w:proofErr w:type="spellEnd"/>
      <w:r w:rsidRPr="00871F73">
        <w:rPr>
          <w:b w:val="0"/>
        </w:rPr>
        <w:t>))</w:t>
      </w:r>
      <w:r>
        <w:rPr>
          <w:b w:val="0"/>
        </w:rPr>
        <w:t xml:space="preserve">. </w:t>
      </w:r>
      <w:proofErr w:type="spellStart"/>
      <w:proofErr w:type="gramStart"/>
      <w:r w:rsidRPr="005321CD">
        <w:rPr>
          <w:b w:val="0"/>
          <w:vertAlign w:val="superscript"/>
        </w:rPr>
        <w:t>c</w:t>
      </w:r>
      <w:r w:rsidRPr="001B72D6">
        <w:rPr>
          <w:b w:val="0"/>
        </w:rPr>
        <w:t>Included</w:t>
      </w:r>
      <w:proofErr w:type="spellEnd"/>
      <w:proofErr w:type="gramEnd"/>
      <w:r w:rsidRPr="001B72D6">
        <w:rPr>
          <w:b w:val="0"/>
        </w:rPr>
        <w:t xml:space="preserve"> in univariate model only. </w:t>
      </w:r>
    </w:p>
    <w:p w:rsidR="00586A04" w:rsidRPr="00586A04" w:rsidRDefault="00586A04" w:rsidP="00586A04">
      <w:pPr>
        <w:rPr>
          <w:lang w:eastAsia="en-GB"/>
        </w:rPr>
      </w:pPr>
    </w:p>
    <w:sectPr w:rsidR="00586A04" w:rsidRPr="00586A04" w:rsidSect="00586A0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A04"/>
    <w:rsid w:val="00467798"/>
    <w:rsid w:val="00586A04"/>
    <w:rsid w:val="00AB25F5"/>
    <w:rsid w:val="00D2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rsid w:val="00586A04"/>
    <w:pPr>
      <w:spacing w:line="240" w:lineRule="auto"/>
    </w:pPr>
    <w:rPr>
      <w:rFonts w:eastAsiaTheme="minorEastAsia"/>
      <w:b/>
      <w:bCs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rsid w:val="00586A04"/>
    <w:pPr>
      <w:spacing w:line="240" w:lineRule="auto"/>
    </w:pPr>
    <w:rPr>
      <w:rFonts w:eastAsiaTheme="minorEastAsia"/>
      <w:b/>
      <w:bCs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8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Bluett</dc:creator>
  <cp:lastModifiedBy>James Bluett</cp:lastModifiedBy>
  <cp:revision>2</cp:revision>
  <dcterms:created xsi:type="dcterms:W3CDTF">2017-11-30T09:57:00Z</dcterms:created>
  <dcterms:modified xsi:type="dcterms:W3CDTF">2017-11-30T09:57:00Z</dcterms:modified>
</cp:coreProperties>
</file>