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8C33FB" w14:textId="77777777" w:rsidR="00627D35" w:rsidRDefault="00627D35" w:rsidP="00627D35">
      <w:pPr>
        <w:spacing w:before="100" w:beforeAutospacing="1" w:after="100" w:afterAutospacing="1"/>
        <w:rPr>
          <w:rFonts w:asciiTheme="majorBidi" w:hAnsiTheme="majorBidi" w:cstheme="majorBidi"/>
          <w:lang w:val="en-GB"/>
        </w:rPr>
      </w:pPr>
    </w:p>
    <w:tbl>
      <w:tblPr>
        <w:tblStyle w:val="TableGrid"/>
        <w:tblW w:w="10916" w:type="dxa"/>
        <w:tblInd w:w="-857" w:type="dxa"/>
        <w:tblLook w:val="04A0" w:firstRow="1" w:lastRow="0" w:firstColumn="1" w:lastColumn="0" w:noHBand="0" w:noVBand="1"/>
      </w:tblPr>
      <w:tblGrid>
        <w:gridCol w:w="6569"/>
        <w:gridCol w:w="1208"/>
        <w:gridCol w:w="1026"/>
        <w:gridCol w:w="1208"/>
        <w:gridCol w:w="905"/>
      </w:tblGrid>
      <w:tr w:rsidR="00627D35" w14:paraId="75732850" w14:textId="77777777" w:rsidTr="00627D35">
        <w:tc>
          <w:tcPr>
            <w:tcW w:w="6569" w:type="dxa"/>
          </w:tcPr>
          <w:p w14:paraId="1DB2D87C" w14:textId="77777777" w:rsidR="00627D35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2234" w:type="dxa"/>
            <w:gridSpan w:val="2"/>
          </w:tcPr>
          <w:p w14:paraId="7127DEA4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Clinical Practice</w:t>
            </w:r>
          </w:p>
        </w:tc>
        <w:tc>
          <w:tcPr>
            <w:tcW w:w="2113" w:type="dxa"/>
            <w:gridSpan w:val="2"/>
          </w:tcPr>
          <w:p w14:paraId="21953DDE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2"/>
                <w:szCs w:val="22"/>
                <w:lang w:val="en-US"/>
              </w:rPr>
              <w:t>Translational research</w:t>
            </w:r>
          </w:p>
        </w:tc>
      </w:tr>
      <w:tr w:rsidR="00627D35" w14:paraId="19A501F0" w14:textId="77777777" w:rsidTr="00546C03">
        <w:trPr>
          <w:trHeight w:val="306"/>
        </w:trPr>
        <w:tc>
          <w:tcPr>
            <w:tcW w:w="6569" w:type="dxa"/>
          </w:tcPr>
          <w:p w14:paraId="5DDE8DE1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1208" w:type="dxa"/>
          </w:tcPr>
          <w:p w14:paraId="3DF5E4A7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 Agreement</w:t>
            </w:r>
          </w:p>
        </w:tc>
        <w:tc>
          <w:tcPr>
            <w:tcW w:w="1026" w:type="dxa"/>
          </w:tcPr>
          <w:p w14:paraId="1D51B46F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Median score</w:t>
            </w:r>
          </w:p>
        </w:tc>
        <w:tc>
          <w:tcPr>
            <w:tcW w:w="1208" w:type="dxa"/>
          </w:tcPr>
          <w:p w14:paraId="6283D107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 Agreement</w:t>
            </w:r>
          </w:p>
        </w:tc>
        <w:tc>
          <w:tcPr>
            <w:tcW w:w="905" w:type="dxa"/>
          </w:tcPr>
          <w:p w14:paraId="75F6D70D" w14:textId="77777777" w:rsidR="00627D35" w:rsidRPr="00976C2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76C2C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Median score</w:t>
            </w:r>
          </w:p>
        </w:tc>
      </w:tr>
      <w:tr w:rsidR="00627D35" w14:paraId="6C882651" w14:textId="77777777" w:rsidTr="00546C03">
        <w:tc>
          <w:tcPr>
            <w:tcW w:w="10916" w:type="dxa"/>
            <w:gridSpan w:val="5"/>
            <w:vAlign w:val="center"/>
          </w:tcPr>
          <w:p w14:paraId="6A482389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1. Biopsy sampling</w:t>
            </w:r>
          </w:p>
        </w:tc>
      </w:tr>
      <w:tr w:rsidR="00627D35" w14:paraId="749E631D" w14:textId="77777777" w:rsidTr="00546C03">
        <w:trPr>
          <w:trHeight w:val="265"/>
        </w:trPr>
        <w:tc>
          <w:tcPr>
            <w:tcW w:w="6569" w:type="dxa"/>
          </w:tcPr>
          <w:p w14:paraId="3E32F2AD" w14:textId="77777777" w:rsidR="00627D35" w:rsidRPr="0024020A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</w:rPr>
              <w:t>A minimum of 6 synovial biopsies needs to be retrieved in large joints.</w:t>
            </w:r>
          </w:p>
        </w:tc>
        <w:tc>
          <w:tcPr>
            <w:tcW w:w="1208" w:type="dxa"/>
            <w:vAlign w:val="center"/>
          </w:tcPr>
          <w:p w14:paraId="4394BD6D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de-DE"/>
              </w:rPr>
              <w:t>66,70</w:t>
            </w:r>
          </w:p>
        </w:tc>
        <w:tc>
          <w:tcPr>
            <w:tcW w:w="1026" w:type="dxa"/>
            <w:vAlign w:val="center"/>
          </w:tcPr>
          <w:p w14:paraId="3C33CBA0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</w:rPr>
              <w:t>4</w:t>
            </w:r>
          </w:p>
        </w:tc>
        <w:tc>
          <w:tcPr>
            <w:tcW w:w="1208" w:type="dxa"/>
            <w:vAlign w:val="center"/>
          </w:tcPr>
          <w:p w14:paraId="2A17887A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77,80</w:t>
            </w:r>
          </w:p>
        </w:tc>
        <w:tc>
          <w:tcPr>
            <w:tcW w:w="905" w:type="dxa"/>
            <w:vAlign w:val="center"/>
          </w:tcPr>
          <w:p w14:paraId="63DB7182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4</w:t>
            </w:r>
          </w:p>
        </w:tc>
      </w:tr>
      <w:tr w:rsidR="00627D35" w14:paraId="7C3C3E44" w14:textId="77777777" w:rsidTr="00546C03">
        <w:tc>
          <w:tcPr>
            <w:tcW w:w="6569" w:type="dxa"/>
          </w:tcPr>
          <w:p w14:paraId="7B4D3609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A minimum of 4 synovial biopsies needs to be retrieved in small joints</w:t>
            </w:r>
          </w:p>
        </w:tc>
        <w:tc>
          <w:tcPr>
            <w:tcW w:w="1208" w:type="dxa"/>
            <w:vAlign w:val="center"/>
          </w:tcPr>
          <w:p w14:paraId="5C1EE3B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72,20</w:t>
            </w:r>
          </w:p>
        </w:tc>
        <w:tc>
          <w:tcPr>
            <w:tcW w:w="1026" w:type="dxa"/>
            <w:vAlign w:val="center"/>
          </w:tcPr>
          <w:p w14:paraId="2811D0D9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3,5</w:t>
            </w:r>
          </w:p>
        </w:tc>
        <w:tc>
          <w:tcPr>
            <w:tcW w:w="1208" w:type="dxa"/>
            <w:vAlign w:val="center"/>
          </w:tcPr>
          <w:p w14:paraId="4E85DC9D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77,70</w:t>
            </w:r>
          </w:p>
        </w:tc>
        <w:tc>
          <w:tcPr>
            <w:tcW w:w="905" w:type="dxa"/>
            <w:vAlign w:val="center"/>
          </w:tcPr>
          <w:p w14:paraId="006D4D54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</w:tr>
      <w:tr w:rsidR="00627D35" w14:paraId="33610F84" w14:textId="77777777" w:rsidTr="00546C03">
        <w:tc>
          <w:tcPr>
            <w:tcW w:w="6569" w:type="dxa"/>
          </w:tcPr>
          <w:p w14:paraId="2E2DC418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 xml:space="preserve">Biopsies shall be retrieved in different areas of the joint, if possible. </w:t>
            </w:r>
          </w:p>
        </w:tc>
        <w:tc>
          <w:tcPr>
            <w:tcW w:w="1208" w:type="dxa"/>
            <w:vAlign w:val="center"/>
          </w:tcPr>
          <w:p w14:paraId="2CC8A8C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83,40</w:t>
            </w:r>
          </w:p>
        </w:tc>
        <w:tc>
          <w:tcPr>
            <w:tcW w:w="1026" w:type="dxa"/>
            <w:vAlign w:val="center"/>
          </w:tcPr>
          <w:p w14:paraId="2900C9BE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1E484EE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83,30</w:t>
            </w:r>
          </w:p>
        </w:tc>
        <w:tc>
          <w:tcPr>
            <w:tcW w:w="905" w:type="dxa"/>
            <w:vAlign w:val="center"/>
          </w:tcPr>
          <w:p w14:paraId="57069A7A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4</w:t>
            </w:r>
          </w:p>
        </w:tc>
      </w:tr>
      <w:tr w:rsidR="00627D35" w14:paraId="4D294694" w14:textId="77777777" w:rsidTr="00546C03">
        <w:trPr>
          <w:trHeight w:val="502"/>
        </w:trPr>
        <w:tc>
          <w:tcPr>
            <w:tcW w:w="6569" w:type="dxa"/>
          </w:tcPr>
          <w:p w14:paraId="2D9D0296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If it is clinically relevant, bacteriological, fungal and mycobacteriological assessment should be performed.</w:t>
            </w:r>
          </w:p>
        </w:tc>
        <w:tc>
          <w:tcPr>
            <w:tcW w:w="1208" w:type="dxa"/>
            <w:vAlign w:val="center"/>
          </w:tcPr>
          <w:p w14:paraId="7B7900D7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94,50</w:t>
            </w:r>
          </w:p>
        </w:tc>
        <w:tc>
          <w:tcPr>
            <w:tcW w:w="1026" w:type="dxa"/>
            <w:vAlign w:val="center"/>
          </w:tcPr>
          <w:p w14:paraId="6C223BD4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2113" w:type="dxa"/>
            <w:gridSpan w:val="2"/>
            <w:vMerge w:val="restart"/>
            <w:vAlign w:val="center"/>
          </w:tcPr>
          <w:p w14:paraId="785E1A7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/</w:t>
            </w:r>
          </w:p>
        </w:tc>
      </w:tr>
      <w:tr w:rsidR="00627D35" w14:paraId="23B366BB" w14:textId="77777777" w:rsidTr="00546C03">
        <w:tc>
          <w:tcPr>
            <w:tcW w:w="6569" w:type="dxa"/>
          </w:tcPr>
          <w:p w14:paraId="43857A66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 xml:space="preserve">Polymerase chain reaction analysis for </w:t>
            </w:r>
            <w:r>
              <w:rPr>
                <w:rFonts w:asciiTheme="majorBidi" w:hAnsiTheme="majorBidi" w:cstheme="majorBidi"/>
                <w:sz w:val="21"/>
                <w:szCs w:val="21"/>
              </w:rPr>
              <w:t>RNA</w:t>
            </w:r>
            <w:r w:rsidRPr="008C10DC">
              <w:rPr>
                <w:rFonts w:asciiTheme="majorBidi" w:hAnsiTheme="majorBidi" w:cstheme="majorBidi"/>
                <w:sz w:val="21"/>
                <w:szCs w:val="21"/>
              </w:rPr>
              <w:t xml:space="preserve"> 16S should be performed if clinically relevant, especially if empiric antibiotic course has been started.</w:t>
            </w:r>
          </w:p>
        </w:tc>
        <w:tc>
          <w:tcPr>
            <w:tcW w:w="1208" w:type="dxa"/>
            <w:vAlign w:val="center"/>
          </w:tcPr>
          <w:p w14:paraId="72B584B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77,20</w:t>
            </w:r>
          </w:p>
        </w:tc>
        <w:tc>
          <w:tcPr>
            <w:tcW w:w="1026" w:type="dxa"/>
            <w:vAlign w:val="center"/>
          </w:tcPr>
          <w:p w14:paraId="38B0CB94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4</w:t>
            </w:r>
          </w:p>
        </w:tc>
        <w:tc>
          <w:tcPr>
            <w:tcW w:w="2113" w:type="dxa"/>
            <w:gridSpan w:val="2"/>
            <w:vMerge/>
            <w:vAlign w:val="center"/>
          </w:tcPr>
          <w:p w14:paraId="717EACAD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75F095B9" w14:textId="77777777" w:rsidTr="00546C03">
        <w:tc>
          <w:tcPr>
            <w:tcW w:w="6569" w:type="dxa"/>
          </w:tcPr>
          <w:p w14:paraId="3478CD68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If it is clinically relevant, Polymerase chain reaction analysis for Lyme and Whipple diseases should be performed.</w:t>
            </w:r>
          </w:p>
        </w:tc>
        <w:tc>
          <w:tcPr>
            <w:tcW w:w="1208" w:type="dxa"/>
            <w:vAlign w:val="center"/>
          </w:tcPr>
          <w:p w14:paraId="196CCE79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77,80</w:t>
            </w:r>
          </w:p>
        </w:tc>
        <w:tc>
          <w:tcPr>
            <w:tcW w:w="1026" w:type="dxa"/>
            <w:vAlign w:val="center"/>
          </w:tcPr>
          <w:p w14:paraId="7E39BA9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07B738E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  <w:tc>
          <w:tcPr>
            <w:tcW w:w="905" w:type="dxa"/>
            <w:vAlign w:val="center"/>
          </w:tcPr>
          <w:p w14:paraId="1B0DA7F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67C7F9F1" w14:textId="77777777" w:rsidTr="00546C03">
        <w:tc>
          <w:tcPr>
            <w:tcW w:w="10916" w:type="dxa"/>
            <w:gridSpan w:val="5"/>
            <w:vAlign w:val="center"/>
          </w:tcPr>
          <w:p w14:paraId="29ACDDDC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2. Biopsy processing</w:t>
            </w:r>
          </w:p>
        </w:tc>
      </w:tr>
      <w:tr w:rsidR="00627D35" w14:paraId="1D36A1D7" w14:textId="77777777" w:rsidTr="00546C03">
        <w:tc>
          <w:tcPr>
            <w:tcW w:w="6569" w:type="dxa"/>
          </w:tcPr>
          <w:p w14:paraId="7DCC7527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The biopsies should spend 24 hours in formalin 4%.</w:t>
            </w:r>
          </w:p>
        </w:tc>
        <w:tc>
          <w:tcPr>
            <w:tcW w:w="1208" w:type="dxa"/>
            <w:vAlign w:val="center"/>
          </w:tcPr>
          <w:p w14:paraId="27B75AD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88,90</w:t>
            </w:r>
          </w:p>
        </w:tc>
        <w:tc>
          <w:tcPr>
            <w:tcW w:w="1026" w:type="dxa"/>
            <w:vAlign w:val="center"/>
          </w:tcPr>
          <w:p w14:paraId="4025E0AC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08290127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72,30</w:t>
            </w:r>
          </w:p>
        </w:tc>
        <w:tc>
          <w:tcPr>
            <w:tcW w:w="905" w:type="dxa"/>
            <w:vAlign w:val="center"/>
          </w:tcPr>
          <w:p w14:paraId="281DE067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4</w:t>
            </w:r>
          </w:p>
        </w:tc>
      </w:tr>
      <w:tr w:rsidR="00627D35" w14:paraId="5DF2E066" w14:textId="77777777" w:rsidTr="00546C03">
        <w:tc>
          <w:tcPr>
            <w:tcW w:w="6569" w:type="dxa"/>
          </w:tcPr>
          <w:p w14:paraId="53EB8773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At least 2 biopsies should be formalin-fixed and paraffin-embedded.</w:t>
            </w:r>
          </w:p>
        </w:tc>
        <w:tc>
          <w:tcPr>
            <w:tcW w:w="1208" w:type="dxa"/>
            <w:vAlign w:val="center"/>
          </w:tcPr>
          <w:p w14:paraId="0DB83886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72,30</w:t>
            </w:r>
          </w:p>
        </w:tc>
        <w:tc>
          <w:tcPr>
            <w:tcW w:w="1026" w:type="dxa"/>
            <w:vAlign w:val="center"/>
          </w:tcPr>
          <w:p w14:paraId="6F5D15D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611AC20C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/</w:t>
            </w:r>
          </w:p>
        </w:tc>
        <w:tc>
          <w:tcPr>
            <w:tcW w:w="905" w:type="dxa"/>
            <w:vAlign w:val="center"/>
          </w:tcPr>
          <w:p w14:paraId="5A933F5E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564008F2" w14:textId="77777777" w:rsidTr="00546C03">
        <w:tc>
          <w:tcPr>
            <w:tcW w:w="10916" w:type="dxa"/>
            <w:gridSpan w:val="5"/>
            <w:vAlign w:val="center"/>
          </w:tcPr>
          <w:p w14:paraId="49978E6F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3. Histological criteria</w:t>
            </w:r>
          </w:p>
        </w:tc>
      </w:tr>
      <w:tr w:rsidR="00627D35" w14:paraId="724EFB91" w14:textId="77777777" w:rsidTr="00546C03">
        <w:tc>
          <w:tcPr>
            <w:tcW w:w="6569" w:type="dxa"/>
          </w:tcPr>
          <w:p w14:paraId="71A416D6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Synovial biopsy surface should be more than 2.5mm</w:t>
            </w:r>
            <w:r w:rsidRPr="00E779EE">
              <w:rPr>
                <w:rFonts w:asciiTheme="majorBidi" w:hAnsiTheme="majorBidi" w:cstheme="majorBidi"/>
                <w:sz w:val="21"/>
                <w:szCs w:val="21"/>
                <w:vertAlign w:val="superscript"/>
              </w:rPr>
              <w:t>2</w:t>
            </w:r>
            <w:r w:rsidRPr="008C10DC">
              <w:rPr>
                <w:rFonts w:asciiTheme="majorBidi" w:hAnsiTheme="majorBidi" w:cstheme="majorBidi"/>
                <w:sz w:val="21"/>
                <w:szCs w:val="21"/>
              </w:rPr>
              <w:t>.</w:t>
            </w:r>
          </w:p>
        </w:tc>
        <w:tc>
          <w:tcPr>
            <w:tcW w:w="1208" w:type="dxa"/>
            <w:vAlign w:val="center"/>
          </w:tcPr>
          <w:p w14:paraId="3F0CF14D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77,80</w:t>
            </w:r>
          </w:p>
        </w:tc>
        <w:tc>
          <w:tcPr>
            <w:tcW w:w="1026" w:type="dxa"/>
            <w:vAlign w:val="center"/>
          </w:tcPr>
          <w:p w14:paraId="6E91DDA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6CF04E57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72,20</w:t>
            </w:r>
          </w:p>
        </w:tc>
        <w:tc>
          <w:tcPr>
            <w:tcW w:w="905" w:type="dxa"/>
            <w:vAlign w:val="center"/>
          </w:tcPr>
          <w:p w14:paraId="59FA4C5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</w:tr>
      <w:tr w:rsidR="00627D35" w14:paraId="36828D0E" w14:textId="77777777" w:rsidTr="00546C03">
        <w:trPr>
          <w:trHeight w:val="278"/>
        </w:trPr>
        <w:tc>
          <w:tcPr>
            <w:tcW w:w="6569" w:type="dxa"/>
          </w:tcPr>
          <w:p w14:paraId="5B15EDB3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A lining layer should be seen.</w:t>
            </w:r>
          </w:p>
        </w:tc>
        <w:tc>
          <w:tcPr>
            <w:tcW w:w="1208" w:type="dxa"/>
            <w:vAlign w:val="center"/>
          </w:tcPr>
          <w:p w14:paraId="734CC7F6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88,90</w:t>
            </w:r>
          </w:p>
        </w:tc>
        <w:tc>
          <w:tcPr>
            <w:tcW w:w="1026" w:type="dxa"/>
            <w:vAlign w:val="center"/>
          </w:tcPr>
          <w:p w14:paraId="63A023B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11866345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83,30</w:t>
            </w:r>
          </w:p>
        </w:tc>
        <w:tc>
          <w:tcPr>
            <w:tcW w:w="905" w:type="dxa"/>
            <w:vAlign w:val="center"/>
          </w:tcPr>
          <w:p w14:paraId="6B9B0E5A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</w:tr>
      <w:tr w:rsidR="00627D35" w14:paraId="777FF790" w14:textId="77777777" w:rsidTr="00546C03">
        <w:tc>
          <w:tcPr>
            <w:tcW w:w="6569" w:type="dxa"/>
          </w:tcPr>
          <w:p w14:paraId="496A1D63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Morphology of the synovial tissue should be preserved.</w:t>
            </w:r>
          </w:p>
        </w:tc>
        <w:tc>
          <w:tcPr>
            <w:tcW w:w="1208" w:type="dxa"/>
            <w:vAlign w:val="center"/>
          </w:tcPr>
          <w:p w14:paraId="06F64DDD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94,50</w:t>
            </w:r>
          </w:p>
        </w:tc>
        <w:tc>
          <w:tcPr>
            <w:tcW w:w="1026" w:type="dxa"/>
            <w:vAlign w:val="center"/>
          </w:tcPr>
          <w:p w14:paraId="3215C42B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  <w:tc>
          <w:tcPr>
            <w:tcW w:w="1208" w:type="dxa"/>
            <w:vAlign w:val="center"/>
          </w:tcPr>
          <w:p w14:paraId="081377E5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de-DE"/>
              </w:rPr>
              <w:t>94,40</w:t>
            </w:r>
          </w:p>
        </w:tc>
        <w:tc>
          <w:tcPr>
            <w:tcW w:w="905" w:type="dxa"/>
            <w:vAlign w:val="center"/>
          </w:tcPr>
          <w:p w14:paraId="6DEB5099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5</w:t>
            </w:r>
          </w:p>
        </w:tc>
      </w:tr>
      <w:tr w:rsidR="00627D35" w14:paraId="2CD2DFD7" w14:textId="77777777" w:rsidTr="00546C03">
        <w:tc>
          <w:tcPr>
            <w:tcW w:w="10916" w:type="dxa"/>
            <w:gridSpan w:val="5"/>
            <w:vAlign w:val="center"/>
          </w:tcPr>
          <w:p w14:paraId="0349446E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4. Staining and Immunohistochemistry (IHC)</w:t>
            </w:r>
          </w:p>
        </w:tc>
      </w:tr>
      <w:tr w:rsidR="00627D35" w14:paraId="1BAAE6F2" w14:textId="77777777" w:rsidTr="00546C03">
        <w:tc>
          <w:tcPr>
            <w:tcW w:w="6569" w:type="dxa"/>
          </w:tcPr>
          <w:p w14:paraId="30E21792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H&amp;E staining should always be performed.</w:t>
            </w:r>
          </w:p>
        </w:tc>
        <w:tc>
          <w:tcPr>
            <w:tcW w:w="1208" w:type="dxa"/>
            <w:vAlign w:val="center"/>
          </w:tcPr>
          <w:p w14:paraId="6CAF0C0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100</w:t>
            </w:r>
          </w:p>
        </w:tc>
        <w:tc>
          <w:tcPr>
            <w:tcW w:w="1026" w:type="dxa"/>
            <w:vAlign w:val="center"/>
          </w:tcPr>
          <w:p w14:paraId="126E9B5B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  <w:tc>
          <w:tcPr>
            <w:tcW w:w="1208" w:type="dxa"/>
            <w:vAlign w:val="center"/>
          </w:tcPr>
          <w:p w14:paraId="384AA7E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100</w:t>
            </w:r>
          </w:p>
        </w:tc>
        <w:tc>
          <w:tcPr>
            <w:tcW w:w="905" w:type="dxa"/>
            <w:vAlign w:val="center"/>
          </w:tcPr>
          <w:p w14:paraId="2319464E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7FE6311D" w14:textId="77777777" w:rsidTr="00546C03">
        <w:tc>
          <w:tcPr>
            <w:tcW w:w="6569" w:type="dxa"/>
          </w:tcPr>
          <w:p w14:paraId="066A85C5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CD68 staining should be performed.</w:t>
            </w:r>
          </w:p>
        </w:tc>
        <w:tc>
          <w:tcPr>
            <w:tcW w:w="1208" w:type="dxa"/>
            <w:vAlign w:val="center"/>
          </w:tcPr>
          <w:p w14:paraId="3F9A7E5B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72.3</w:t>
            </w:r>
          </w:p>
        </w:tc>
        <w:tc>
          <w:tcPr>
            <w:tcW w:w="1026" w:type="dxa"/>
            <w:vAlign w:val="center"/>
          </w:tcPr>
          <w:p w14:paraId="24EE2DD8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  <w:tc>
          <w:tcPr>
            <w:tcW w:w="1208" w:type="dxa"/>
            <w:vAlign w:val="center"/>
          </w:tcPr>
          <w:p w14:paraId="6061879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94.4</w:t>
            </w:r>
          </w:p>
        </w:tc>
        <w:tc>
          <w:tcPr>
            <w:tcW w:w="905" w:type="dxa"/>
            <w:vAlign w:val="center"/>
          </w:tcPr>
          <w:p w14:paraId="189AA63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14F10A08" w14:textId="77777777" w:rsidTr="00546C03">
        <w:tc>
          <w:tcPr>
            <w:tcW w:w="6569" w:type="dxa"/>
          </w:tcPr>
          <w:p w14:paraId="3CF70FC9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CD3, CD19 or CD20 staining should be performed.</w:t>
            </w:r>
          </w:p>
        </w:tc>
        <w:tc>
          <w:tcPr>
            <w:tcW w:w="2234" w:type="dxa"/>
            <w:gridSpan w:val="2"/>
            <w:vMerge w:val="restart"/>
            <w:vAlign w:val="center"/>
          </w:tcPr>
          <w:p w14:paraId="6D255B5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  <w:tc>
          <w:tcPr>
            <w:tcW w:w="1208" w:type="dxa"/>
            <w:vAlign w:val="center"/>
          </w:tcPr>
          <w:p w14:paraId="4D2F450C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94.4</w:t>
            </w:r>
          </w:p>
        </w:tc>
        <w:tc>
          <w:tcPr>
            <w:tcW w:w="905" w:type="dxa"/>
            <w:vAlign w:val="center"/>
          </w:tcPr>
          <w:p w14:paraId="2978A8D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4F653E92" w14:textId="77777777" w:rsidTr="00546C03">
        <w:tc>
          <w:tcPr>
            <w:tcW w:w="6569" w:type="dxa"/>
          </w:tcPr>
          <w:p w14:paraId="7E1A9FE8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Additional CD 31 or FVIII, CD4, CD8, CD138 staining might be performed depending on the question.</w:t>
            </w:r>
          </w:p>
        </w:tc>
        <w:tc>
          <w:tcPr>
            <w:tcW w:w="2234" w:type="dxa"/>
            <w:gridSpan w:val="2"/>
            <w:vMerge/>
            <w:vAlign w:val="center"/>
          </w:tcPr>
          <w:p w14:paraId="5E7580AA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5CD5DD7C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83.3</w:t>
            </w:r>
          </w:p>
        </w:tc>
        <w:tc>
          <w:tcPr>
            <w:tcW w:w="905" w:type="dxa"/>
            <w:vAlign w:val="center"/>
          </w:tcPr>
          <w:p w14:paraId="139ED53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</w:tr>
      <w:tr w:rsidR="00627D35" w14:paraId="63A53391" w14:textId="77777777" w:rsidTr="00546C03">
        <w:tc>
          <w:tcPr>
            <w:tcW w:w="6569" w:type="dxa"/>
          </w:tcPr>
          <w:p w14:paraId="7A1E405A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In particular clinically relevant cases, additional staining should be performed (CD3, CD20, CD138, CD31 or FVIII).</w:t>
            </w:r>
          </w:p>
        </w:tc>
        <w:tc>
          <w:tcPr>
            <w:tcW w:w="1208" w:type="dxa"/>
            <w:vAlign w:val="center"/>
          </w:tcPr>
          <w:p w14:paraId="7597AA5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72.3</w:t>
            </w:r>
          </w:p>
        </w:tc>
        <w:tc>
          <w:tcPr>
            <w:tcW w:w="1026" w:type="dxa"/>
            <w:vAlign w:val="center"/>
          </w:tcPr>
          <w:p w14:paraId="566DB56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3.5</w:t>
            </w:r>
          </w:p>
        </w:tc>
        <w:tc>
          <w:tcPr>
            <w:tcW w:w="2113" w:type="dxa"/>
            <w:gridSpan w:val="2"/>
            <w:vMerge w:val="restart"/>
            <w:vAlign w:val="center"/>
          </w:tcPr>
          <w:p w14:paraId="49D3F685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</w:tr>
      <w:tr w:rsidR="00627D35" w14:paraId="1BF67071" w14:textId="77777777" w:rsidTr="00546C03">
        <w:tc>
          <w:tcPr>
            <w:tcW w:w="6569" w:type="dxa"/>
          </w:tcPr>
          <w:p w14:paraId="53B8270E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If performed, IHC results can be given using a semi-quantitative score.</w:t>
            </w:r>
          </w:p>
        </w:tc>
        <w:tc>
          <w:tcPr>
            <w:tcW w:w="1208" w:type="dxa"/>
            <w:vAlign w:val="center"/>
          </w:tcPr>
          <w:p w14:paraId="5ABF14B5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1026" w:type="dxa"/>
            <w:vAlign w:val="center"/>
          </w:tcPr>
          <w:p w14:paraId="6F8A4EAD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  <w:tc>
          <w:tcPr>
            <w:tcW w:w="2113" w:type="dxa"/>
            <w:gridSpan w:val="2"/>
            <w:vMerge/>
            <w:vAlign w:val="center"/>
          </w:tcPr>
          <w:p w14:paraId="27F92468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380BAB28" w14:textId="77777777" w:rsidTr="00546C03">
        <w:tc>
          <w:tcPr>
            <w:tcW w:w="6569" w:type="dxa"/>
          </w:tcPr>
          <w:p w14:paraId="58445D8A" w14:textId="77777777" w:rsidR="00627D35" w:rsidRPr="0024020A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</w:rPr>
              <w:t>If infectious arthritis is suspected, CD15 staining should be performed.</w:t>
            </w:r>
          </w:p>
        </w:tc>
        <w:tc>
          <w:tcPr>
            <w:tcW w:w="1208" w:type="dxa"/>
            <w:vAlign w:val="center"/>
          </w:tcPr>
          <w:p w14:paraId="51C563B4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  <w:t>39.2</w:t>
            </w:r>
          </w:p>
        </w:tc>
        <w:tc>
          <w:tcPr>
            <w:tcW w:w="1026" w:type="dxa"/>
            <w:vAlign w:val="center"/>
          </w:tcPr>
          <w:p w14:paraId="1C8ED1CD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  <w:t>3</w:t>
            </w:r>
          </w:p>
        </w:tc>
        <w:tc>
          <w:tcPr>
            <w:tcW w:w="2113" w:type="dxa"/>
            <w:gridSpan w:val="2"/>
            <w:vMerge/>
            <w:vAlign w:val="center"/>
          </w:tcPr>
          <w:p w14:paraId="2E135E0C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6E9A1E22" w14:textId="77777777" w:rsidTr="00546C03">
        <w:tc>
          <w:tcPr>
            <w:tcW w:w="10916" w:type="dxa"/>
            <w:gridSpan w:val="5"/>
            <w:vAlign w:val="bottom"/>
          </w:tcPr>
          <w:p w14:paraId="32B1EB3C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5. Biopsies interpretation and Pathologist’s report</w:t>
            </w:r>
          </w:p>
        </w:tc>
      </w:tr>
      <w:tr w:rsidR="00627D35" w14:paraId="5B1812E5" w14:textId="77777777" w:rsidTr="00546C03">
        <w:tc>
          <w:tcPr>
            <w:tcW w:w="6569" w:type="dxa"/>
          </w:tcPr>
          <w:p w14:paraId="2982E72E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A synovitis score should be performed, analyzing: lining layer hyperplasia, inflammatory infiltrate and resident cell activation (Krenn, other).</w:t>
            </w:r>
          </w:p>
        </w:tc>
        <w:tc>
          <w:tcPr>
            <w:tcW w:w="1208" w:type="dxa"/>
            <w:vAlign w:val="center"/>
          </w:tcPr>
          <w:p w14:paraId="1DEB87A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88.8</w:t>
            </w:r>
          </w:p>
        </w:tc>
        <w:tc>
          <w:tcPr>
            <w:tcW w:w="1026" w:type="dxa"/>
            <w:vAlign w:val="center"/>
          </w:tcPr>
          <w:p w14:paraId="6FC11259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  <w:tc>
          <w:tcPr>
            <w:tcW w:w="1208" w:type="dxa"/>
            <w:vAlign w:val="center"/>
          </w:tcPr>
          <w:p w14:paraId="5CE9CF0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905" w:type="dxa"/>
            <w:vAlign w:val="center"/>
          </w:tcPr>
          <w:p w14:paraId="10B717C8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</w:tr>
      <w:tr w:rsidR="00627D35" w14:paraId="39AA8FCB" w14:textId="77777777" w:rsidTr="00546C03">
        <w:trPr>
          <w:trHeight w:val="264"/>
        </w:trPr>
        <w:tc>
          <w:tcPr>
            <w:tcW w:w="6569" w:type="dxa"/>
          </w:tcPr>
          <w:p w14:paraId="4599C0B8" w14:textId="77777777" w:rsidR="00627D35" w:rsidRPr="0024020A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</w:rPr>
              <w:t>Vascularity should be scored.</w:t>
            </w:r>
          </w:p>
        </w:tc>
        <w:tc>
          <w:tcPr>
            <w:tcW w:w="1208" w:type="dxa"/>
            <w:vAlign w:val="center"/>
          </w:tcPr>
          <w:p w14:paraId="36833167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  <w:t>66.7</w:t>
            </w:r>
          </w:p>
        </w:tc>
        <w:tc>
          <w:tcPr>
            <w:tcW w:w="1026" w:type="dxa"/>
            <w:vAlign w:val="center"/>
          </w:tcPr>
          <w:p w14:paraId="620B1F19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  <w:t>3.5</w:t>
            </w:r>
          </w:p>
        </w:tc>
        <w:tc>
          <w:tcPr>
            <w:tcW w:w="2113" w:type="dxa"/>
            <w:gridSpan w:val="2"/>
            <w:vAlign w:val="center"/>
          </w:tcPr>
          <w:p w14:paraId="5FB4E46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</w:tr>
      <w:tr w:rsidR="00627D35" w14:paraId="1CF113C0" w14:textId="77777777" w:rsidTr="00546C03">
        <w:tc>
          <w:tcPr>
            <w:tcW w:w="6569" w:type="dxa"/>
          </w:tcPr>
          <w:p w14:paraId="5F5B32D0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 xml:space="preserve"> The absolute number of vessels per mm2 or per high power field should be assessed.</w:t>
            </w:r>
          </w:p>
        </w:tc>
        <w:tc>
          <w:tcPr>
            <w:tcW w:w="2234" w:type="dxa"/>
            <w:gridSpan w:val="2"/>
            <w:vMerge w:val="restart"/>
            <w:vAlign w:val="center"/>
          </w:tcPr>
          <w:p w14:paraId="48B94E1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  <w:tc>
          <w:tcPr>
            <w:tcW w:w="1208" w:type="dxa"/>
            <w:vAlign w:val="center"/>
          </w:tcPr>
          <w:p w14:paraId="07F6DF12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61.1</w:t>
            </w:r>
          </w:p>
        </w:tc>
        <w:tc>
          <w:tcPr>
            <w:tcW w:w="905" w:type="dxa"/>
            <w:vAlign w:val="center"/>
          </w:tcPr>
          <w:p w14:paraId="24D866EB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3.5</w:t>
            </w:r>
          </w:p>
        </w:tc>
      </w:tr>
      <w:tr w:rsidR="00627D35" w14:paraId="63179C50" w14:textId="77777777" w:rsidTr="00546C03">
        <w:tc>
          <w:tcPr>
            <w:tcW w:w="6569" w:type="dxa"/>
          </w:tcPr>
          <w:p w14:paraId="678F6013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Lining layer hyperplasia should be scored.</w:t>
            </w:r>
          </w:p>
        </w:tc>
        <w:tc>
          <w:tcPr>
            <w:tcW w:w="2234" w:type="dxa"/>
            <w:gridSpan w:val="2"/>
            <w:vMerge/>
            <w:vAlign w:val="center"/>
          </w:tcPr>
          <w:p w14:paraId="0265A30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  <w:tc>
          <w:tcPr>
            <w:tcW w:w="1208" w:type="dxa"/>
            <w:vAlign w:val="center"/>
          </w:tcPr>
          <w:p w14:paraId="102B18A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905" w:type="dxa"/>
            <w:vAlign w:val="center"/>
          </w:tcPr>
          <w:p w14:paraId="605CCC54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</w:tr>
      <w:tr w:rsidR="00627D35" w14:paraId="52B48E08" w14:textId="77777777" w:rsidTr="00546C03">
        <w:tc>
          <w:tcPr>
            <w:tcW w:w="6569" w:type="dxa"/>
          </w:tcPr>
          <w:p w14:paraId="1BD49530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Synovial pathotype should be described.</w:t>
            </w:r>
          </w:p>
        </w:tc>
        <w:tc>
          <w:tcPr>
            <w:tcW w:w="1208" w:type="dxa"/>
            <w:vAlign w:val="center"/>
          </w:tcPr>
          <w:p w14:paraId="456C0A09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1026" w:type="dxa"/>
            <w:vAlign w:val="center"/>
          </w:tcPr>
          <w:p w14:paraId="5CC9CC9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  <w:tc>
          <w:tcPr>
            <w:tcW w:w="1208" w:type="dxa"/>
            <w:vAlign w:val="center"/>
          </w:tcPr>
          <w:p w14:paraId="44B9B396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77.8</w:t>
            </w:r>
          </w:p>
        </w:tc>
        <w:tc>
          <w:tcPr>
            <w:tcW w:w="905" w:type="dxa"/>
            <w:vAlign w:val="center"/>
          </w:tcPr>
          <w:p w14:paraId="232B645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148CB4E5" w14:textId="77777777" w:rsidTr="00546C03">
        <w:tc>
          <w:tcPr>
            <w:tcW w:w="6569" w:type="dxa"/>
          </w:tcPr>
          <w:p w14:paraId="73B9A67D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Presence or absence of lymphoid follicles within the membrane should be described.</w:t>
            </w:r>
          </w:p>
        </w:tc>
        <w:tc>
          <w:tcPr>
            <w:tcW w:w="1208" w:type="dxa"/>
            <w:vAlign w:val="center"/>
          </w:tcPr>
          <w:p w14:paraId="34350498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1026" w:type="dxa"/>
            <w:vAlign w:val="center"/>
          </w:tcPr>
          <w:p w14:paraId="70FE065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4</w:t>
            </w:r>
          </w:p>
        </w:tc>
        <w:tc>
          <w:tcPr>
            <w:tcW w:w="1208" w:type="dxa"/>
            <w:vAlign w:val="center"/>
          </w:tcPr>
          <w:p w14:paraId="5C474B78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905" w:type="dxa"/>
            <w:vAlign w:val="center"/>
          </w:tcPr>
          <w:p w14:paraId="3627163B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626B51AA" w14:textId="77777777" w:rsidTr="00546C03">
        <w:tc>
          <w:tcPr>
            <w:tcW w:w="6569" w:type="dxa"/>
          </w:tcPr>
          <w:p w14:paraId="75047866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Analysis can be semi-quantitative or quantitative depending on the question.</w:t>
            </w:r>
          </w:p>
        </w:tc>
        <w:tc>
          <w:tcPr>
            <w:tcW w:w="1208" w:type="dxa"/>
            <w:vAlign w:val="center"/>
          </w:tcPr>
          <w:p w14:paraId="478BDEA2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1026" w:type="dxa"/>
            <w:vAlign w:val="center"/>
          </w:tcPr>
          <w:p w14:paraId="5BE8D72C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  <w:tc>
          <w:tcPr>
            <w:tcW w:w="1208" w:type="dxa"/>
            <w:vAlign w:val="center"/>
          </w:tcPr>
          <w:p w14:paraId="0E93A986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83.4</w:t>
            </w:r>
          </w:p>
        </w:tc>
        <w:tc>
          <w:tcPr>
            <w:tcW w:w="905" w:type="dxa"/>
            <w:vAlign w:val="center"/>
          </w:tcPr>
          <w:p w14:paraId="51DB3ACB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15738D44" w14:textId="77777777" w:rsidTr="00546C03">
        <w:tc>
          <w:tcPr>
            <w:tcW w:w="6569" w:type="dxa"/>
          </w:tcPr>
          <w:p w14:paraId="4A28D161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If a semi-quantitative or quantitative analysis is performed for a single biopsy: at least 3 area of the biopsy should be assessed.</w:t>
            </w:r>
          </w:p>
        </w:tc>
        <w:tc>
          <w:tcPr>
            <w:tcW w:w="2234" w:type="dxa"/>
            <w:gridSpan w:val="2"/>
            <w:vAlign w:val="center"/>
          </w:tcPr>
          <w:p w14:paraId="1AF5624A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  <w:tc>
          <w:tcPr>
            <w:tcW w:w="1208" w:type="dxa"/>
            <w:vAlign w:val="center"/>
          </w:tcPr>
          <w:p w14:paraId="52C8618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77.8</w:t>
            </w:r>
          </w:p>
        </w:tc>
        <w:tc>
          <w:tcPr>
            <w:tcW w:w="905" w:type="dxa"/>
            <w:vAlign w:val="center"/>
          </w:tcPr>
          <w:p w14:paraId="6C51B401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  <w:tr w:rsidR="00627D35" w14:paraId="47A5F93E" w14:textId="77777777" w:rsidTr="00546C03">
        <w:tc>
          <w:tcPr>
            <w:tcW w:w="6569" w:type="dxa"/>
          </w:tcPr>
          <w:p w14:paraId="0CFF29C5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If a semi-quantitative or quantitative analysis is performed for multiple biopsies, an average score should be calculated and given for the analysis of inflammation and vascularization.</w:t>
            </w:r>
          </w:p>
        </w:tc>
        <w:tc>
          <w:tcPr>
            <w:tcW w:w="1208" w:type="dxa"/>
            <w:vAlign w:val="center"/>
          </w:tcPr>
          <w:p w14:paraId="33F229A8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72.2</w:t>
            </w:r>
          </w:p>
        </w:tc>
        <w:tc>
          <w:tcPr>
            <w:tcW w:w="1026" w:type="dxa"/>
            <w:vAlign w:val="center"/>
          </w:tcPr>
          <w:p w14:paraId="6C34E99F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3.5</w:t>
            </w:r>
          </w:p>
        </w:tc>
        <w:tc>
          <w:tcPr>
            <w:tcW w:w="2113" w:type="dxa"/>
            <w:gridSpan w:val="2"/>
            <w:vMerge w:val="restart"/>
            <w:vAlign w:val="center"/>
          </w:tcPr>
          <w:p w14:paraId="44F35F9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</w:tr>
      <w:tr w:rsidR="00627D35" w14:paraId="69BB1401" w14:textId="77777777" w:rsidTr="00546C03">
        <w:tc>
          <w:tcPr>
            <w:tcW w:w="6569" w:type="dxa"/>
          </w:tcPr>
          <w:p w14:paraId="4557A8DF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The pathologist should mention the presence of granulomas</w:t>
            </w:r>
          </w:p>
        </w:tc>
        <w:tc>
          <w:tcPr>
            <w:tcW w:w="1208" w:type="dxa"/>
            <w:vAlign w:val="center"/>
          </w:tcPr>
          <w:p w14:paraId="4EF65BB0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88.9</w:t>
            </w:r>
          </w:p>
        </w:tc>
        <w:tc>
          <w:tcPr>
            <w:tcW w:w="1026" w:type="dxa"/>
            <w:vAlign w:val="center"/>
          </w:tcPr>
          <w:p w14:paraId="5C283F42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  <w:tc>
          <w:tcPr>
            <w:tcW w:w="2113" w:type="dxa"/>
            <w:gridSpan w:val="2"/>
            <w:vMerge/>
            <w:vAlign w:val="center"/>
          </w:tcPr>
          <w:p w14:paraId="0F0FBC64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5D6FA55D" w14:textId="77777777" w:rsidTr="00546C03">
        <w:tc>
          <w:tcPr>
            <w:tcW w:w="6569" w:type="dxa"/>
          </w:tcPr>
          <w:p w14:paraId="48FB55BC" w14:textId="77777777" w:rsidR="00627D35" w:rsidRPr="0024020A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i/>
                <w:iCs/>
                <w:sz w:val="21"/>
                <w:szCs w:val="21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</w:rPr>
              <w:t>If appropriate and possible, the pathologist should mention the likeliest diagnosis.</w:t>
            </w:r>
          </w:p>
        </w:tc>
        <w:tc>
          <w:tcPr>
            <w:tcW w:w="1208" w:type="dxa"/>
            <w:vAlign w:val="center"/>
          </w:tcPr>
          <w:p w14:paraId="6D14F24C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  <w:t>66.7</w:t>
            </w:r>
          </w:p>
        </w:tc>
        <w:tc>
          <w:tcPr>
            <w:tcW w:w="1026" w:type="dxa"/>
            <w:vAlign w:val="center"/>
          </w:tcPr>
          <w:p w14:paraId="57A0481E" w14:textId="77777777" w:rsidR="00627D35" w:rsidRPr="0024020A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</w:pPr>
            <w:r w:rsidRPr="0024020A">
              <w:rPr>
                <w:rFonts w:asciiTheme="majorBidi" w:hAnsiTheme="majorBidi" w:cstheme="majorBidi"/>
                <w:i/>
                <w:iCs/>
                <w:sz w:val="21"/>
                <w:szCs w:val="21"/>
                <w:lang w:val="en-US"/>
              </w:rPr>
              <w:t>4</w:t>
            </w:r>
          </w:p>
        </w:tc>
        <w:tc>
          <w:tcPr>
            <w:tcW w:w="2113" w:type="dxa"/>
            <w:gridSpan w:val="2"/>
            <w:vMerge/>
            <w:vAlign w:val="center"/>
          </w:tcPr>
          <w:p w14:paraId="3AFB8023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</w:p>
        </w:tc>
      </w:tr>
      <w:tr w:rsidR="00627D35" w14:paraId="570EE5AB" w14:textId="77777777" w:rsidTr="00546C03">
        <w:tc>
          <w:tcPr>
            <w:tcW w:w="10916" w:type="dxa"/>
            <w:gridSpan w:val="5"/>
            <w:vAlign w:val="center"/>
          </w:tcPr>
          <w:p w14:paraId="1F27DB25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b/>
                <w:bCs/>
                <w:sz w:val="21"/>
                <w:szCs w:val="21"/>
              </w:rPr>
              <w:t>6. RNA Analysis</w:t>
            </w:r>
          </w:p>
        </w:tc>
      </w:tr>
      <w:tr w:rsidR="00627D35" w14:paraId="7930D8D5" w14:textId="77777777" w:rsidTr="00546C03">
        <w:trPr>
          <w:trHeight w:val="222"/>
        </w:trPr>
        <w:tc>
          <w:tcPr>
            <w:tcW w:w="6569" w:type="dxa"/>
          </w:tcPr>
          <w:p w14:paraId="718DB90B" w14:textId="77777777" w:rsidR="00627D35" w:rsidRPr="008C10DC" w:rsidRDefault="00627D35" w:rsidP="00546C03">
            <w:pPr>
              <w:spacing w:before="100" w:beforeAutospacing="1" w:after="100" w:afterAutospacing="1"/>
              <w:rPr>
                <w:rFonts w:asciiTheme="majorBidi" w:hAnsiTheme="majorBidi" w:cstheme="majorBidi"/>
                <w:b/>
                <w:bCs/>
                <w:sz w:val="21"/>
                <w:szCs w:val="21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</w:rPr>
              <w:t>Biopsies of one patient can be pooled for RNA extraction if needed.</w:t>
            </w:r>
          </w:p>
        </w:tc>
        <w:tc>
          <w:tcPr>
            <w:tcW w:w="2234" w:type="dxa"/>
            <w:gridSpan w:val="2"/>
            <w:vAlign w:val="center"/>
          </w:tcPr>
          <w:p w14:paraId="6500D8B9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/</w:t>
            </w:r>
          </w:p>
        </w:tc>
        <w:tc>
          <w:tcPr>
            <w:tcW w:w="1208" w:type="dxa"/>
            <w:vAlign w:val="center"/>
          </w:tcPr>
          <w:p w14:paraId="6C87299D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100</w:t>
            </w:r>
          </w:p>
        </w:tc>
        <w:tc>
          <w:tcPr>
            <w:tcW w:w="905" w:type="dxa"/>
            <w:vAlign w:val="center"/>
          </w:tcPr>
          <w:p w14:paraId="18546845" w14:textId="77777777" w:rsidR="00627D35" w:rsidRPr="008C10DC" w:rsidRDefault="00627D35" w:rsidP="00546C03">
            <w:pPr>
              <w:spacing w:before="100" w:beforeAutospacing="1" w:after="100" w:afterAutospacing="1"/>
              <w:jc w:val="center"/>
              <w:rPr>
                <w:rFonts w:asciiTheme="majorBidi" w:hAnsiTheme="majorBidi" w:cstheme="majorBidi"/>
                <w:sz w:val="21"/>
                <w:szCs w:val="21"/>
                <w:lang w:val="en-US"/>
              </w:rPr>
            </w:pPr>
            <w:r w:rsidRPr="008C10DC">
              <w:rPr>
                <w:rFonts w:asciiTheme="majorBidi" w:hAnsiTheme="majorBidi" w:cstheme="majorBidi"/>
                <w:sz w:val="21"/>
                <w:szCs w:val="21"/>
                <w:lang w:val="en-US"/>
              </w:rPr>
              <w:t>5</w:t>
            </w:r>
          </w:p>
        </w:tc>
      </w:tr>
    </w:tbl>
    <w:p w14:paraId="61FB654E" w14:textId="218D44DB" w:rsidR="00627D35" w:rsidRDefault="00627D35" w:rsidP="00627D35">
      <w:pPr>
        <w:rPr>
          <w:rFonts w:asciiTheme="majorBidi" w:hAnsiTheme="majorBidi" w:cstheme="majorBidi"/>
          <w:lang w:val="en-GB"/>
        </w:rPr>
      </w:pPr>
      <w:r w:rsidRPr="009C1975">
        <w:rPr>
          <w:rFonts w:asciiTheme="majorBidi" w:hAnsiTheme="majorBidi" w:cstheme="majorBidi"/>
          <w:b/>
          <w:bCs/>
          <w:lang w:val="en-GB"/>
        </w:rPr>
        <w:lastRenderedPageBreak/>
        <w:t xml:space="preserve">Table </w:t>
      </w:r>
      <w:r w:rsidR="00C0669F">
        <w:rPr>
          <w:rFonts w:asciiTheme="majorBidi" w:hAnsiTheme="majorBidi" w:cstheme="majorBidi"/>
          <w:b/>
          <w:bCs/>
          <w:lang w:val="en-GB"/>
        </w:rPr>
        <w:t>S</w:t>
      </w:r>
      <w:bookmarkStart w:id="0" w:name="_GoBack"/>
      <w:bookmarkEnd w:id="0"/>
      <w:r w:rsidRPr="009C1975">
        <w:rPr>
          <w:rFonts w:asciiTheme="majorBidi" w:hAnsiTheme="majorBidi" w:cstheme="majorBidi"/>
          <w:b/>
          <w:bCs/>
          <w:lang w:val="en-GB"/>
        </w:rPr>
        <w:t>3.</w:t>
      </w:r>
      <w:r>
        <w:rPr>
          <w:rFonts w:asciiTheme="majorBidi" w:hAnsiTheme="majorBidi" w:cstheme="majorBidi"/>
          <w:lang w:val="en-GB"/>
        </w:rPr>
        <w:t xml:space="preserve"> Items of the round 2 with percentage of agreement and median score. Items in italic have not reached consensus.</w:t>
      </w:r>
    </w:p>
    <w:p w14:paraId="046A39FB" w14:textId="77777777" w:rsidR="000D2169" w:rsidRDefault="00C0669F"/>
    <w:sectPr w:rsidR="000D2169" w:rsidSect="009F1230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27D35"/>
    <w:rsid w:val="004162AD"/>
    <w:rsid w:val="00627D35"/>
    <w:rsid w:val="009F1230"/>
    <w:rsid w:val="00C0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B2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D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7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2643</Characters>
  <Application>Microsoft Office Word</Application>
  <DocSecurity>0</DocSecurity>
  <Lines>176</Lines>
  <Paragraphs>165</Paragraphs>
  <ScaleCrop>false</ScaleCrop>
  <Company/>
  <LinksUpToDate>false</LinksUpToDate>
  <CharactersWithSpaces>2988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Najm</dc:creator>
  <cp:keywords/>
  <dc:description/>
  <cp:lastModifiedBy>MATUBLE</cp:lastModifiedBy>
  <cp:revision>2</cp:revision>
  <dcterms:created xsi:type="dcterms:W3CDTF">2018-07-14T17:48:00Z</dcterms:created>
  <dcterms:modified xsi:type="dcterms:W3CDTF">2018-11-09T04:02:00Z</dcterms:modified>
</cp:coreProperties>
</file>