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26FF1" w14:textId="77777777" w:rsidR="00254269" w:rsidRPr="00254269" w:rsidRDefault="00254269" w:rsidP="00254269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bookmarkStart w:id="0" w:name="_GoBack"/>
      <w:bookmarkEnd w:id="0"/>
      <w:r w:rsidRPr="00254269">
        <w:rPr>
          <w:rFonts w:eastAsia="Calibri" w:cs="Arial"/>
          <w:b/>
          <w:szCs w:val="22"/>
        </w:rPr>
        <w:t>Table S1</w:t>
      </w:r>
      <w:r w:rsidRPr="00254269">
        <w:rPr>
          <w:rFonts w:eastAsia="Calibri" w:cs="Arial"/>
          <w:szCs w:val="22"/>
        </w:rPr>
        <w:t xml:space="preserve"> Adjusted mean change from baseline in SF-36 individual domains at weeks 16 (all patients) and 24 (non-early escape responder analysis) in patients treated with </w:t>
      </w:r>
      <w:proofErr w:type="spellStart"/>
      <w:r w:rsidRPr="00254269">
        <w:rPr>
          <w:rFonts w:eastAsia="Calibri" w:cs="Arial"/>
          <w:szCs w:val="22"/>
        </w:rPr>
        <w:t>abatacept</w:t>
      </w:r>
      <w:proofErr w:type="spellEnd"/>
      <w:r w:rsidRPr="00254269">
        <w:rPr>
          <w:rFonts w:eastAsia="Calibri" w:cs="Arial"/>
          <w:szCs w:val="22"/>
        </w:rPr>
        <w:t xml:space="preserve"> or placebo (overall population)</w:t>
      </w:r>
    </w:p>
    <w:tbl>
      <w:tblPr>
        <w:tblStyle w:val="TableGrid"/>
        <w:tblW w:w="12126" w:type="dxa"/>
        <w:tblLook w:val="04A0" w:firstRow="1" w:lastRow="0" w:firstColumn="1" w:lastColumn="0" w:noHBand="0" w:noVBand="1"/>
      </w:tblPr>
      <w:tblGrid>
        <w:gridCol w:w="1732"/>
        <w:gridCol w:w="1732"/>
        <w:gridCol w:w="1732"/>
        <w:gridCol w:w="1733"/>
        <w:gridCol w:w="1732"/>
        <w:gridCol w:w="1732"/>
        <w:gridCol w:w="1733"/>
      </w:tblGrid>
      <w:tr w:rsidR="00254269" w:rsidRPr="00254269" w14:paraId="04D26FF5" w14:textId="77777777" w:rsidTr="006A0DE7">
        <w:tc>
          <w:tcPr>
            <w:tcW w:w="1732" w:type="dxa"/>
            <w:vMerge w:val="restart"/>
          </w:tcPr>
          <w:p w14:paraId="04D26FF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SF-36 domain</w:t>
            </w:r>
          </w:p>
        </w:tc>
        <w:tc>
          <w:tcPr>
            <w:tcW w:w="5197" w:type="dxa"/>
            <w:gridSpan w:val="3"/>
          </w:tcPr>
          <w:p w14:paraId="04D26FF3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Week 16 (before early escape)</w:t>
            </w:r>
          </w:p>
        </w:tc>
        <w:tc>
          <w:tcPr>
            <w:tcW w:w="5197" w:type="dxa"/>
            <w:gridSpan w:val="3"/>
          </w:tcPr>
          <w:p w14:paraId="04D26FF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Week 24 (</w:t>
            </w:r>
            <w:r w:rsidRPr="00254269">
              <w:rPr>
                <w:b/>
                <w:bCs/>
                <w:szCs w:val="22"/>
              </w:rPr>
              <w:t>non-early escape responders</w:t>
            </w:r>
            <w:r w:rsidRPr="00254269">
              <w:rPr>
                <w:b/>
                <w:szCs w:val="22"/>
              </w:rPr>
              <w:t>)</w:t>
            </w:r>
          </w:p>
        </w:tc>
      </w:tr>
      <w:tr w:rsidR="00254269" w:rsidRPr="00254269" w14:paraId="04D26FFD" w14:textId="77777777" w:rsidTr="006A0DE7">
        <w:tc>
          <w:tcPr>
            <w:tcW w:w="1732" w:type="dxa"/>
            <w:vMerge/>
          </w:tcPr>
          <w:p w14:paraId="04D26FF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</w:p>
        </w:tc>
        <w:tc>
          <w:tcPr>
            <w:tcW w:w="1732" w:type="dxa"/>
          </w:tcPr>
          <w:p w14:paraId="04D26FF7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Abatacept</w:t>
            </w:r>
          </w:p>
        </w:tc>
        <w:tc>
          <w:tcPr>
            <w:tcW w:w="1732" w:type="dxa"/>
          </w:tcPr>
          <w:p w14:paraId="04D26FF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Placebo</w:t>
            </w:r>
          </w:p>
        </w:tc>
        <w:tc>
          <w:tcPr>
            <w:tcW w:w="1733" w:type="dxa"/>
          </w:tcPr>
          <w:p w14:paraId="04D26FF9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Adjusted mean difference (95% CI)</w:t>
            </w:r>
          </w:p>
        </w:tc>
        <w:tc>
          <w:tcPr>
            <w:tcW w:w="1732" w:type="dxa"/>
          </w:tcPr>
          <w:p w14:paraId="04D26FFA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Abatacept</w:t>
            </w:r>
          </w:p>
        </w:tc>
        <w:tc>
          <w:tcPr>
            <w:tcW w:w="1732" w:type="dxa"/>
          </w:tcPr>
          <w:p w14:paraId="04D26FFB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Placebo</w:t>
            </w:r>
          </w:p>
        </w:tc>
        <w:tc>
          <w:tcPr>
            <w:tcW w:w="1733" w:type="dxa"/>
          </w:tcPr>
          <w:p w14:paraId="04D26FFC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Adjusted mean difference (95% CI)</w:t>
            </w:r>
          </w:p>
        </w:tc>
      </w:tr>
      <w:tr w:rsidR="00254269" w:rsidRPr="00254269" w14:paraId="04D2700B" w14:textId="77777777" w:rsidTr="006A0DE7">
        <w:tc>
          <w:tcPr>
            <w:tcW w:w="1732" w:type="dxa"/>
          </w:tcPr>
          <w:p w14:paraId="04D26FFE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Physical function</w:t>
            </w:r>
          </w:p>
        </w:tc>
        <w:tc>
          <w:tcPr>
            <w:tcW w:w="1732" w:type="dxa"/>
          </w:tcPr>
          <w:p w14:paraId="04D26FFF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7.90 (1.53),*</w:t>
            </w:r>
          </w:p>
          <w:p w14:paraId="04D27000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n=203</w:t>
            </w:r>
          </w:p>
        </w:tc>
        <w:tc>
          <w:tcPr>
            <w:tcW w:w="1732" w:type="dxa"/>
          </w:tcPr>
          <w:p w14:paraId="04D27001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3.47 (1.59),</w:t>
            </w:r>
          </w:p>
          <w:p w14:paraId="04D2700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n=187</w:t>
            </w:r>
          </w:p>
        </w:tc>
        <w:tc>
          <w:tcPr>
            <w:tcW w:w="1733" w:type="dxa"/>
          </w:tcPr>
          <w:p w14:paraId="04D27003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4.44</w:t>
            </w:r>
          </w:p>
          <w:p w14:paraId="04D2700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(0.39 to 8.49)</w:t>
            </w:r>
          </w:p>
        </w:tc>
        <w:tc>
          <w:tcPr>
            <w:tcW w:w="1732" w:type="dxa"/>
          </w:tcPr>
          <w:p w14:paraId="04D27005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12.08 (1.77),</w:t>
            </w:r>
          </w:p>
          <w:p w14:paraId="04D2700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n=125</w:t>
            </w:r>
          </w:p>
        </w:tc>
        <w:tc>
          <w:tcPr>
            <w:tcW w:w="1732" w:type="dxa"/>
          </w:tcPr>
          <w:p w14:paraId="04D27007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7.31 (1.99),</w:t>
            </w:r>
          </w:p>
          <w:p w14:paraId="04D2700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n=97</w:t>
            </w:r>
          </w:p>
        </w:tc>
        <w:tc>
          <w:tcPr>
            <w:tcW w:w="1733" w:type="dxa"/>
          </w:tcPr>
          <w:p w14:paraId="04D27009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4.77</w:t>
            </w:r>
          </w:p>
          <w:p w14:paraId="04D2700A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(−0.09 to 9.63)</w:t>
            </w:r>
          </w:p>
        </w:tc>
      </w:tr>
      <w:tr w:rsidR="00254269" w:rsidRPr="00254269" w14:paraId="04D27019" w14:textId="77777777" w:rsidTr="006A0DE7">
        <w:tc>
          <w:tcPr>
            <w:tcW w:w="1732" w:type="dxa"/>
          </w:tcPr>
          <w:p w14:paraId="04D2700C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Role–physical</w:t>
            </w:r>
          </w:p>
        </w:tc>
        <w:tc>
          <w:tcPr>
            <w:tcW w:w="1732" w:type="dxa"/>
          </w:tcPr>
          <w:p w14:paraId="04D2700D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8.84 (1.54),</w:t>
            </w:r>
          </w:p>
          <w:p w14:paraId="04D2700E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n=203</w:t>
            </w:r>
          </w:p>
        </w:tc>
        <w:tc>
          <w:tcPr>
            <w:tcW w:w="1732" w:type="dxa"/>
          </w:tcPr>
          <w:p w14:paraId="04D2700F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5.42 (1.59),</w:t>
            </w:r>
          </w:p>
          <w:p w14:paraId="04D27010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n=187</w:t>
            </w:r>
          </w:p>
        </w:tc>
        <w:tc>
          <w:tcPr>
            <w:tcW w:w="1733" w:type="dxa"/>
          </w:tcPr>
          <w:p w14:paraId="04D27011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3.42</w:t>
            </w:r>
          </w:p>
          <w:p w14:paraId="04D2701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(−0.64 to 7.48)</w:t>
            </w:r>
          </w:p>
        </w:tc>
        <w:tc>
          <w:tcPr>
            <w:tcW w:w="1732" w:type="dxa"/>
          </w:tcPr>
          <w:p w14:paraId="04D27013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11.56 (1.88),</w:t>
            </w:r>
          </w:p>
          <w:p w14:paraId="04D2701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n=125</w:t>
            </w:r>
          </w:p>
        </w:tc>
        <w:tc>
          <w:tcPr>
            <w:tcW w:w="1732" w:type="dxa"/>
          </w:tcPr>
          <w:p w14:paraId="04D27015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7.96 (2.10),</w:t>
            </w:r>
          </w:p>
          <w:p w14:paraId="04D2701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n=97</w:t>
            </w:r>
          </w:p>
        </w:tc>
        <w:tc>
          <w:tcPr>
            <w:tcW w:w="1733" w:type="dxa"/>
          </w:tcPr>
          <w:p w14:paraId="04D27017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3.60</w:t>
            </w:r>
          </w:p>
          <w:p w14:paraId="04D2701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(−1.54 to 8.74)</w:t>
            </w:r>
          </w:p>
        </w:tc>
      </w:tr>
      <w:tr w:rsidR="00254269" w:rsidRPr="00254269" w14:paraId="04D27027" w14:textId="77777777" w:rsidTr="006A0DE7">
        <w:tc>
          <w:tcPr>
            <w:tcW w:w="1732" w:type="dxa"/>
          </w:tcPr>
          <w:p w14:paraId="04D2701A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Bodily pain</w:t>
            </w:r>
          </w:p>
        </w:tc>
        <w:tc>
          <w:tcPr>
            <w:tcW w:w="1732" w:type="dxa"/>
          </w:tcPr>
          <w:p w14:paraId="04D2701B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12.21 (1.51),*</w:t>
            </w:r>
          </w:p>
          <w:p w14:paraId="04D2701C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n=202</w:t>
            </w:r>
          </w:p>
        </w:tc>
        <w:tc>
          <w:tcPr>
            <w:tcW w:w="1732" w:type="dxa"/>
          </w:tcPr>
          <w:p w14:paraId="04D2701D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6.85 (1.55),</w:t>
            </w:r>
          </w:p>
          <w:p w14:paraId="04D2701E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n=187</w:t>
            </w:r>
          </w:p>
        </w:tc>
        <w:tc>
          <w:tcPr>
            <w:tcW w:w="1733" w:type="dxa"/>
          </w:tcPr>
          <w:p w14:paraId="04D2701F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5.36</w:t>
            </w:r>
          </w:p>
          <w:p w14:paraId="04D27020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(1.40 to 9.33)</w:t>
            </w:r>
          </w:p>
        </w:tc>
        <w:tc>
          <w:tcPr>
            <w:tcW w:w="1732" w:type="dxa"/>
          </w:tcPr>
          <w:p w14:paraId="04D27021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15.63 (1.84),</w:t>
            </w:r>
          </w:p>
          <w:p w14:paraId="04D2702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n=125</w:t>
            </w:r>
          </w:p>
        </w:tc>
        <w:tc>
          <w:tcPr>
            <w:tcW w:w="1732" w:type="dxa"/>
          </w:tcPr>
          <w:p w14:paraId="04D27023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12.52 (2.06),</w:t>
            </w:r>
          </w:p>
          <w:p w14:paraId="04D2702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n=97</w:t>
            </w:r>
          </w:p>
        </w:tc>
        <w:tc>
          <w:tcPr>
            <w:tcW w:w="1733" w:type="dxa"/>
          </w:tcPr>
          <w:p w14:paraId="04D27025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3.11</w:t>
            </w:r>
          </w:p>
          <w:p w14:paraId="04D2702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(−1.92 to 8.13)</w:t>
            </w:r>
          </w:p>
        </w:tc>
      </w:tr>
      <w:tr w:rsidR="00254269" w:rsidRPr="00254269" w14:paraId="04D27035" w14:textId="77777777" w:rsidTr="006A0DE7">
        <w:tc>
          <w:tcPr>
            <w:tcW w:w="1732" w:type="dxa"/>
          </w:tcPr>
          <w:p w14:paraId="04D2702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General health</w:t>
            </w:r>
          </w:p>
        </w:tc>
        <w:tc>
          <w:tcPr>
            <w:tcW w:w="1732" w:type="dxa"/>
          </w:tcPr>
          <w:p w14:paraId="04D27029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4.35 (1.12),</w:t>
            </w:r>
          </w:p>
          <w:p w14:paraId="04D2702A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n=203</w:t>
            </w:r>
          </w:p>
        </w:tc>
        <w:tc>
          <w:tcPr>
            <w:tcW w:w="1732" w:type="dxa"/>
          </w:tcPr>
          <w:p w14:paraId="04D2702B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2.12 (1.16),</w:t>
            </w:r>
          </w:p>
          <w:p w14:paraId="04D2702C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n=187</w:t>
            </w:r>
          </w:p>
        </w:tc>
        <w:tc>
          <w:tcPr>
            <w:tcW w:w="1733" w:type="dxa"/>
          </w:tcPr>
          <w:p w14:paraId="04D2702D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2.23</w:t>
            </w:r>
          </w:p>
          <w:p w14:paraId="04D2702E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(−0.72 to 5.19)</w:t>
            </w:r>
          </w:p>
        </w:tc>
        <w:tc>
          <w:tcPr>
            <w:tcW w:w="1732" w:type="dxa"/>
          </w:tcPr>
          <w:p w14:paraId="04D2702F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4.46 (1.46),</w:t>
            </w:r>
          </w:p>
          <w:p w14:paraId="04D27030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n=125</w:t>
            </w:r>
          </w:p>
        </w:tc>
        <w:tc>
          <w:tcPr>
            <w:tcW w:w="1732" w:type="dxa"/>
          </w:tcPr>
          <w:p w14:paraId="04D27031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5.56 (1.62),</w:t>
            </w:r>
          </w:p>
          <w:p w14:paraId="04D2703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n=97</w:t>
            </w:r>
          </w:p>
        </w:tc>
        <w:tc>
          <w:tcPr>
            <w:tcW w:w="1733" w:type="dxa"/>
          </w:tcPr>
          <w:p w14:paraId="04D27033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−1.10</w:t>
            </w:r>
          </w:p>
          <w:p w14:paraId="04D2703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(−5.09 to 2.89)</w:t>
            </w:r>
          </w:p>
        </w:tc>
      </w:tr>
      <w:tr w:rsidR="00254269" w:rsidRPr="00254269" w14:paraId="04D27043" w14:textId="77777777" w:rsidTr="006A0DE7">
        <w:tc>
          <w:tcPr>
            <w:tcW w:w="1732" w:type="dxa"/>
          </w:tcPr>
          <w:p w14:paraId="04D2703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Vitality</w:t>
            </w:r>
          </w:p>
        </w:tc>
        <w:tc>
          <w:tcPr>
            <w:tcW w:w="1732" w:type="dxa"/>
          </w:tcPr>
          <w:p w14:paraId="04D27037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6.16 (1.28),*</w:t>
            </w:r>
          </w:p>
          <w:p w14:paraId="04D2703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n=203</w:t>
            </w:r>
          </w:p>
        </w:tc>
        <w:tc>
          <w:tcPr>
            <w:tcW w:w="1732" w:type="dxa"/>
          </w:tcPr>
          <w:p w14:paraId="04D27039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2.09 (1.33),</w:t>
            </w:r>
          </w:p>
          <w:p w14:paraId="04D2703A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n=186</w:t>
            </w:r>
          </w:p>
        </w:tc>
        <w:tc>
          <w:tcPr>
            <w:tcW w:w="1733" w:type="dxa"/>
          </w:tcPr>
          <w:p w14:paraId="04D2703B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4.07</w:t>
            </w:r>
          </w:p>
          <w:p w14:paraId="04D2703C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(0.67 to 7.47)</w:t>
            </w:r>
          </w:p>
        </w:tc>
        <w:tc>
          <w:tcPr>
            <w:tcW w:w="1732" w:type="dxa"/>
          </w:tcPr>
          <w:p w14:paraId="04D2703D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8.23 (1.57),</w:t>
            </w:r>
          </w:p>
          <w:p w14:paraId="04D2703E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n=124</w:t>
            </w:r>
          </w:p>
        </w:tc>
        <w:tc>
          <w:tcPr>
            <w:tcW w:w="1732" w:type="dxa"/>
          </w:tcPr>
          <w:p w14:paraId="04D2703F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7.53 (1.76),</w:t>
            </w:r>
          </w:p>
          <w:p w14:paraId="04D27040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n=97</w:t>
            </w:r>
          </w:p>
        </w:tc>
        <w:tc>
          <w:tcPr>
            <w:tcW w:w="1733" w:type="dxa"/>
          </w:tcPr>
          <w:p w14:paraId="04D27041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0.70</w:t>
            </w:r>
          </w:p>
          <w:p w14:paraId="04D2704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lastRenderedPageBreak/>
              <w:t>(−3.61 to 5.01)</w:t>
            </w:r>
          </w:p>
        </w:tc>
      </w:tr>
      <w:tr w:rsidR="00254269" w:rsidRPr="00254269" w14:paraId="04D27051" w14:textId="77777777" w:rsidTr="006A0DE7">
        <w:tc>
          <w:tcPr>
            <w:tcW w:w="1732" w:type="dxa"/>
          </w:tcPr>
          <w:p w14:paraId="04D2704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lastRenderedPageBreak/>
              <w:t>Social function</w:t>
            </w:r>
          </w:p>
        </w:tc>
        <w:tc>
          <w:tcPr>
            <w:tcW w:w="1732" w:type="dxa"/>
          </w:tcPr>
          <w:p w14:paraId="04D27045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7.38 (1.66),</w:t>
            </w:r>
          </w:p>
          <w:p w14:paraId="04D2704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n=203</w:t>
            </w:r>
          </w:p>
        </w:tc>
        <w:tc>
          <w:tcPr>
            <w:tcW w:w="1732" w:type="dxa"/>
          </w:tcPr>
          <w:p w14:paraId="04D27047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4.14 (1.73),</w:t>
            </w:r>
          </w:p>
          <w:p w14:paraId="04D2704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n=187</w:t>
            </w:r>
          </w:p>
        </w:tc>
        <w:tc>
          <w:tcPr>
            <w:tcW w:w="1733" w:type="dxa"/>
          </w:tcPr>
          <w:p w14:paraId="04D27049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3.24</w:t>
            </w:r>
          </w:p>
          <w:p w14:paraId="04D2704A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(−1.15 to 7.64)</w:t>
            </w:r>
          </w:p>
        </w:tc>
        <w:tc>
          <w:tcPr>
            <w:tcW w:w="1732" w:type="dxa"/>
          </w:tcPr>
          <w:p w14:paraId="04D2704B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9.39 (2.00),</w:t>
            </w:r>
          </w:p>
          <w:p w14:paraId="04D2704C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n=125</w:t>
            </w:r>
          </w:p>
        </w:tc>
        <w:tc>
          <w:tcPr>
            <w:tcW w:w="1732" w:type="dxa"/>
          </w:tcPr>
          <w:p w14:paraId="04D2704D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9.39 (2.24),</w:t>
            </w:r>
          </w:p>
          <w:p w14:paraId="04D2704E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n=97</w:t>
            </w:r>
          </w:p>
        </w:tc>
        <w:tc>
          <w:tcPr>
            <w:tcW w:w="1733" w:type="dxa"/>
          </w:tcPr>
          <w:p w14:paraId="04D2704F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0.00</w:t>
            </w:r>
          </w:p>
          <w:p w14:paraId="04D27050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(−5.48 to 5.48)</w:t>
            </w:r>
          </w:p>
        </w:tc>
      </w:tr>
      <w:tr w:rsidR="00254269" w:rsidRPr="00254269" w14:paraId="04D2705D" w14:textId="77777777" w:rsidTr="006A0DE7">
        <w:tc>
          <w:tcPr>
            <w:tcW w:w="1732" w:type="dxa"/>
          </w:tcPr>
          <w:p w14:paraId="04D2705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Role–emotional</w:t>
            </w:r>
          </w:p>
        </w:tc>
        <w:tc>
          <w:tcPr>
            <w:tcW w:w="1732" w:type="dxa"/>
          </w:tcPr>
          <w:p w14:paraId="04D27053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6.04 (1.70),</w:t>
            </w:r>
          </w:p>
          <w:p w14:paraId="04D2705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n=203</w:t>
            </w:r>
          </w:p>
        </w:tc>
        <w:tc>
          <w:tcPr>
            <w:tcW w:w="1732" w:type="dxa"/>
          </w:tcPr>
          <w:p w14:paraId="04D27055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2.17 (1.77),</w:t>
            </w:r>
          </w:p>
          <w:p w14:paraId="04D2705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n=187</w:t>
            </w:r>
          </w:p>
        </w:tc>
        <w:tc>
          <w:tcPr>
            <w:tcW w:w="1733" w:type="dxa"/>
          </w:tcPr>
          <w:p w14:paraId="04D27057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3.87</w:t>
            </w:r>
            <w:r w:rsidRPr="00254269">
              <w:rPr>
                <w:szCs w:val="22"/>
              </w:rPr>
              <w:br/>
              <w:t>(−0.62 to 8.36)</w:t>
            </w:r>
          </w:p>
        </w:tc>
        <w:tc>
          <w:tcPr>
            <w:tcW w:w="1732" w:type="dxa"/>
          </w:tcPr>
          <w:p w14:paraId="04D2705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7.56 (2.00),</w:t>
            </w:r>
          </w:p>
          <w:p w14:paraId="04D27059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n=125</w:t>
            </w:r>
          </w:p>
        </w:tc>
        <w:tc>
          <w:tcPr>
            <w:tcW w:w="1732" w:type="dxa"/>
          </w:tcPr>
          <w:p w14:paraId="04D2705A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4.99 (2.25),</w:t>
            </w:r>
          </w:p>
          <w:p w14:paraId="04D2705B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n=97</w:t>
            </w:r>
          </w:p>
        </w:tc>
        <w:tc>
          <w:tcPr>
            <w:tcW w:w="1733" w:type="dxa"/>
          </w:tcPr>
          <w:p w14:paraId="04D2705C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2.57</w:t>
            </w:r>
            <w:r w:rsidRPr="00254269">
              <w:rPr>
                <w:szCs w:val="22"/>
              </w:rPr>
              <w:br/>
              <w:t>(−2.91 to 8.05)</w:t>
            </w:r>
          </w:p>
        </w:tc>
      </w:tr>
      <w:tr w:rsidR="00254269" w:rsidRPr="00254269" w14:paraId="04D27069" w14:textId="77777777" w:rsidTr="006A0DE7">
        <w:tc>
          <w:tcPr>
            <w:tcW w:w="1732" w:type="dxa"/>
          </w:tcPr>
          <w:p w14:paraId="04D2705E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Mental health</w:t>
            </w:r>
          </w:p>
        </w:tc>
        <w:tc>
          <w:tcPr>
            <w:tcW w:w="1732" w:type="dxa"/>
          </w:tcPr>
          <w:p w14:paraId="04D2705F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4.62 (1.20),</w:t>
            </w:r>
          </w:p>
          <w:p w14:paraId="04D27060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n=203</w:t>
            </w:r>
          </w:p>
        </w:tc>
        <w:tc>
          <w:tcPr>
            <w:tcW w:w="1732" w:type="dxa"/>
          </w:tcPr>
          <w:p w14:paraId="04D27061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3.13 (1.26),</w:t>
            </w:r>
          </w:p>
          <w:p w14:paraId="04D27062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n=186</w:t>
            </w:r>
          </w:p>
        </w:tc>
        <w:tc>
          <w:tcPr>
            <w:tcW w:w="1733" w:type="dxa"/>
          </w:tcPr>
          <w:p w14:paraId="04D27063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1.48</w:t>
            </w:r>
            <w:r w:rsidRPr="00254269">
              <w:rPr>
                <w:szCs w:val="22"/>
              </w:rPr>
              <w:br/>
              <w:t>(−1.70 to 4.67)</w:t>
            </w:r>
          </w:p>
        </w:tc>
        <w:tc>
          <w:tcPr>
            <w:tcW w:w="1732" w:type="dxa"/>
          </w:tcPr>
          <w:p w14:paraId="04D27064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5.03 (1.43),</w:t>
            </w:r>
          </w:p>
          <w:p w14:paraId="04D27065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n=124</w:t>
            </w:r>
          </w:p>
        </w:tc>
        <w:tc>
          <w:tcPr>
            <w:tcW w:w="1732" w:type="dxa"/>
          </w:tcPr>
          <w:p w14:paraId="04D27066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4.91 (1.61),</w:t>
            </w:r>
          </w:p>
          <w:p w14:paraId="04D27067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n=97</w:t>
            </w:r>
          </w:p>
        </w:tc>
        <w:tc>
          <w:tcPr>
            <w:tcW w:w="1733" w:type="dxa"/>
          </w:tcPr>
          <w:p w14:paraId="04D27068" w14:textId="77777777" w:rsidR="00254269" w:rsidRPr="00254269" w:rsidRDefault="00254269" w:rsidP="00254269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0.12</w:t>
            </w:r>
            <w:r w:rsidRPr="00254269">
              <w:rPr>
                <w:szCs w:val="22"/>
              </w:rPr>
              <w:br/>
              <w:t>(−3.79 to 4.03)</w:t>
            </w:r>
          </w:p>
        </w:tc>
      </w:tr>
    </w:tbl>
    <w:p w14:paraId="04D2706A" w14:textId="77777777" w:rsidR="00254269" w:rsidRPr="00254269" w:rsidRDefault="00254269" w:rsidP="00254269">
      <w:pPr>
        <w:tabs>
          <w:tab w:val="clear" w:pos="432"/>
        </w:tabs>
        <w:spacing w:after="0" w:line="480" w:lineRule="auto"/>
        <w:contextualSpacing w:val="0"/>
        <w:rPr>
          <w:rFonts w:eastAsia="Calibri" w:cs="Arial"/>
          <w:szCs w:val="22"/>
        </w:rPr>
      </w:pPr>
      <w:r w:rsidRPr="00254269">
        <w:rPr>
          <w:rFonts w:eastAsia="Calibri" w:cs="Arial"/>
          <w:szCs w:val="22"/>
        </w:rPr>
        <w:t xml:space="preserve">Data are adjusted mean change (SE) unless otherwise indicated. </w:t>
      </w:r>
    </w:p>
    <w:p w14:paraId="04D2706B" w14:textId="77777777" w:rsidR="00254269" w:rsidRPr="00254269" w:rsidRDefault="00254269" w:rsidP="00254269">
      <w:pPr>
        <w:tabs>
          <w:tab w:val="clear" w:pos="432"/>
        </w:tabs>
        <w:spacing w:after="0" w:line="480" w:lineRule="auto"/>
        <w:contextualSpacing w:val="0"/>
        <w:rPr>
          <w:rFonts w:eastAsia="Calibri" w:cs="Arial"/>
          <w:szCs w:val="22"/>
        </w:rPr>
      </w:pPr>
      <w:r w:rsidRPr="00254269">
        <w:rPr>
          <w:rFonts w:eastAsia="Calibri" w:cs="Arial"/>
          <w:szCs w:val="22"/>
        </w:rPr>
        <w:t>*95% CI of difference versus placebo did not cross 0.</w:t>
      </w:r>
    </w:p>
    <w:p w14:paraId="04D270D2" w14:textId="15FCD5C8" w:rsidR="009A0C16" w:rsidRPr="000F7753" w:rsidRDefault="00254269" w:rsidP="00902278">
      <w:pPr>
        <w:tabs>
          <w:tab w:val="clear" w:pos="432"/>
        </w:tabs>
        <w:spacing w:after="0" w:line="480" w:lineRule="auto"/>
        <w:contextualSpacing w:val="0"/>
      </w:pPr>
      <w:r w:rsidRPr="00254269">
        <w:rPr>
          <w:rFonts w:eastAsia="Calibri" w:cs="Arial"/>
          <w:szCs w:val="22"/>
        </w:rPr>
        <w:t>CI, confidence interval; SE, standard error; SF-36, Short Form-36.</w:t>
      </w:r>
    </w:p>
    <w:sectPr w:rsidR="009A0C16" w:rsidRPr="000F7753" w:rsidSect="00254269">
      <w:footerReference w:type="even" r:id="rId12"/>
      <w:footerReference w:type="default" r:id="rId13"/>
      <w:pgSz w:w="16838" w:h="11906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5F2DA" w14:textId="77777777" w:rsidR="00CD11C9" w:rsidRDefault="00CD11C9">
      <w:r>
        <w:separator/>
      </w:r>
    </w:p>
  </w:endnote>
  <w:endnote w:type="continuationSeparator" w:id="0">
    <w:p w14:paraId="43132E1B" w14:textId="77777777" w:rsidR="00CD11C9" w:rsidRDefault="00CD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270D7" w14:textId="77777777" w:rsidR="00D560BA" w:rsidRDefault="00D560BA" w:rsidP="002755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D270D8" w14:textId="77777777" w:rsidR="00D560BA" w:rsidRDefault="00D560BA" w:rsidP="00274046">
    <w:pPr>
      <w:pStyle w:val="Footer"/>
      <w:ind w:right="360"/>
    </w:pPr>
  </w:p>
  <w:p w14:paraId="04D270D9" w14:textId="77777777" w:rsidR="008A7BA8" w:rsidRDefault="008A7B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270DB" w14:textId="77777777" w:rsidR="00D560BA" w:rsidRDefault="00D560BA" w:rsidP="00274046">
    <w:pPr>
      <w:pStyle w:val="Footer"/>
      <w:ind w:right="360"/>
    </w:pPr>
  </w:p>
  <w:p w14:paraId="04D270DC" w14:textId="77777777" w:rsidR="008A7BA8" w:rsidRDefault="008A7B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8A8CD" w14:textId="77777777" w:rsidR="00CD11C9" w:rsidRDefault="00CD11C9">
      <w:r>
        <w:separator/>
      </w:r>
    </w:p>
  </w:footnote>
  <w:footnote w:type="continuationSeparator" w:id="0">
    <w:p w14:paraId="01D79A3B" w14:textId="77777777" w:rsidR="00CD11C9" w:rsidRDefault="00CD1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046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F8CF0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2A89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5D24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C40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2861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AB6CA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68C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583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4AB464"/>
    <w:lvl w:ilvl="0">
      <w:start w:val="1"/>
      <w:numFmt w:val="bullet"/>
      <w:pStyle w:val="Houselis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>
    <w:nsid w:val="0B9757A1"/>
    <w:multiLevelType w:val="multilevel"/>
    <w:tmpl w:val="C422EF28"/>
    <w:numStyleLink w:val="StyleBulletedSymbolsymbolLeft03Hanging03"/>
  </w:abstractNum>
  <w:abstractNum w:abstractNumId="11">
    <w:nsid w:val="0D093F0C"/>
    <w:multiLevelType w:val="hybridMultilevel"/>
    <w:tmpl w:val="FFF02E5C"/>
    <w:lvl w:ilvl="0" w:tplc="34AAA786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081DE5"/>
    <w:multiLevelType w:val="hybridMultilevel"/>
    <w:tmpl w:val="25C07E4E"/>
    <w:lvl w:ilvl="0" w:tplc="DC22B552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66365B"/>
    <w:multiLevelType w:val="multilevel"/>
    <w:tmpl w:val="C422EF28"/>
    <w:numStyleLink w:val="StyleBulletedSymbolsymbolLeft03Hanging03"/>
  </w:abstractNum>
  <w:abstractNum w:abstractNumId="14">
    <w:nsid w:val="12772301"/>
    <w:multiLevelType w:val="multilevel"/>
    <w:tmpl w:val="C422EF28"/>
    <w:numStyleLink w:val="StyleBulletedSymbolsymbolLeft03Hanging03"/>
  </w:abstractNum>
  <w:abstractNum w:abstractNumId="15">
    <w:nsid w:val="15441732"/>
    <w:multiLevelType w:val="multilevel"/>
    <w:tmpl w:val="2BE208CE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1DA90AB7"/>
    <w:multiLevelType w:val="multilevel"/>
    <w:tmpl w:val="C422EF28"/>
    <w:numStyleLink w:val="StyleBulletedSymbolsymbolLeft03Hanging03"/>
  </w:abstractNum>
  <w:abstractNum w:abstractNumId="17">
    <w:nsid w:val="23F63FE5"/>
    <w:multiLevelType w:val="multilevel"/>
    <w:tmpl w:val="2BE208CE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2B9249EA"/>
    <w:multiLevelType w:val="hybridMultilevel"/>
    <w:tmpl w:val="BA1A0410"/>
    <w:lvl w:ilvl="0" w:tplc="34AAA786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B847FA"/>
    <w:multiLevelType w:val="multilevel"/>
    <w:tmpl w:val="2348F4F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296"/>
        </w:tabs>
        <w:ind w:left="172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606604"/>
    <w:multiLevelType w:val="multilevel"/>
    <w:tmpl w:val="25C07E4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B4B84"/>
    <w:multiLevelType w:val="multilevel"/>
    <w:tmpl w:val="C422EF28"/>
    <w:numStyleLink w:val="StyleBulletedSymbolsymbolLeft03Hanging03"/>
  </w:abstractNum>
  <w:abstractNum w:abstractNumId="22">
    <w:nsid w:val="3559611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7327B7A"/>
    <w:multiLevelType w:val="hybridMultilevel"/>
    <w:tmpl w:val="8498404C"/>
    <w:lvl w:ilvl="0" w:tplc="27881726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95771D"/>
    <w:multiLevelType w:val="multilevel"/>
    <w:tmpl w:val="8498404C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192F1C"/>
    <w:multiLevelType w:val="multilevel"/>
    <w:tmpl w:val="C422EF28"/>
    <w:numStyleLink w:val="StyleBulletedSymbolsymbolLeft03Hanging03"/>
  </w:abstractNum>
  <w:abstractNum w:abstractNumId="26">
    <w:nsid w:val="50EA7598"/>
    <w:multiLevelType w:val="multilevel"/>
    <w:tmpl w:val="5944188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93359E"/>
    <w:multiLevelType w:val="hybridMultilevel"/>
    <w:tmpl w:val="59441882"/>
    <w:lvl w:ilvl="0" w:tplc="DC22B552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7704C8"/>
    <w:multiLevelType w:val="multilevel"/>
    <w:tmpl w:val="C422EF28"/>
    <w:styleLink w:val="StyleBulletedSymbolsymbolLeft03Hanging03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296"/>
        </w:tabs>
        <w:ind w:left="172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AE05B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6FD764D2"/>
    <w:multiLevelType w:val="multilevel"/>
    <w:tmpl w:val="C422EF28"/>
    <w:numStyleLink w:val="StyleBulletedSymbolsymbolLeft03Hanging03"/>
  </w:abstractNum>
  <w:abstractNum w:abstractNumId="31">
    <w:nsid w:val="70F70354"/>
    <w:multiLevelType w:val="hybridMultilevel"/>
    <w:tmpl w:val="DEA4C84C"/>
    <w:lvl w:ilvl="0" w:tplc="DC22B552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34AAA786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3334AD"/>
    <w:multiLevelType w:val="multilevel"/>
    <w:tmpl w:val="C422EF28"/>
    <w:numStyleLink w:val="StyleBulletedSymbolsymbolLeft03Hanging03"/>
  </w:abstractNum>
  <w:num w:numId="1">
    <w:abstractNumId w:val="23"/>
  </w:num>
  <w:num w:numId="2">
    <w:abstractNumId w:val="24"/>
  </w:num>
  <w:num w:numId="3">
    <w:abstractNumId w:val="27"/>
  </w:num>
  <w:num w:numId="4">
    <w:abstractNumId w:val="2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20"/>
  </w:num>
  <w:num w:numId="17">
    <w:abstractNumId w:val="31"/>
  </w:num>
  <w:num w:numId="18">
    <w:abstractNumId w:val="18"/>
  </w:num>
  <w:num w:numId="19">
    <w:abstractNumId w:val="11"/>
  </w:num>
  <w:num w:numId="20">
    <w:abstractNumId w:val="28"/>
  </w:num>
  <w:num w:numId="21">
    <w:abstractNumId w:val="19"/>
  </w:num>
  <w:num w:numId="22">
    <w:abstractNumId w:val="14"/>
  </w:num>
  <w:num w:numId="23">
    <w:abstractNumId w:val="10"/>
  </w:num>
  <w:num w:numId="24">
    <w:abstractNumId w:val="13"/>
  </w:num>
  <w:num w:numId="25">
    <w:abstractNumId w:val="30"/>
  </w:num>
  <w:num w:numId="26">
    <w:abstractNumId w:val="16"/>
  </w:num>
  <w:num w:numId="27">
    <w:abstractNumId w:val="21"/>
  </w:num>
  <w:num w:numId="28">
    <w:abstractNumId w:val="25"/>
  </w:num>
  <w:num w:numId="29">
    <w:abstractNumId w:val="32"/>
  </w:num>
  <w:num w:numId="30">
    <w:abstractNumId w:val="15"/>
  </w:num>
  <w:num w:numId="31">
    <w:abstractNumId w:val="17"/>
  </w:num>
  <w:num w:numId="32">
    <w:abstractNumId w:val="2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54269"/>
    <w:rsid w:val="000017FB"/>
    <w:rsid w:val="000046CE"/>
    <w:rsid w:val="000077D8"/>
    <w:rsid w:val="00007CB9"/>
    <w:rsid w:val="0001700C"/>
    <w:rsid w:val="000213F0"/>
    <w:rsid w:val="00022132"/>
    <w:rsid w:val="00022184"/>
    <w:rsid w:val="00022BF2"/>
    <w:rsid w:val="00030D9D"/>
    <w:rsid w:val="00033430"/>
    <w:rsid w:val="00033584"/>
    <w:rsid w:val="0004114E"/>
    <w:rsid w:val="000411A4"/>
    <w:rsid w:val="00041C07"/>
    <w:rsid w:val="00042113"/>
    <w:rsid w:val="00042860"/>
    <w:rsid w:val="00044E5F"/>
    <w:rsid w:val="00071EF2"/>
    <w:rsid w:val="000727CE"/>
    <w:rsid w:val="00072D5E"/>
    <w:rsid w:val="0007643E"/>
    <w:rsid w:val="0008033C"/>
    <w:rsid w:val="000A0AAC"/>
    <w:rsid w:val="000A0C31"/>
    <w:rsid w:val="000A202B"/>
    <w:rsid w:val="000A56B7"/>
    <w:rsid w:val="000B27E9"/>
    <w:rsid w:val="000B2899"/>
    <w:rsid w:val="000B5F73"/>
    <w:rsid w:val="000B66B8"/>
    <w:rsid w:val="000C0570"/>
    <w:rsid w:val="000C29DF"/>
    <w:rsid w:val="000C559F"/>
    <w:rsid w:val="000C645E"/>
    <w:rsid w:val="000D3C66"/>
    <w:rsid w:val="000E3FE0"/>
    <w:rsid w:val="000E4012"/>
    <w:rsid w:val="000E5D71"/>
    <w:rsid w:val="000E742E"/>
    <w:rsid w:val="000F05AD"/>
    <w:rsid w:val="000F111C"/>
    <w:rsid w:val="000F7753"/>
    <w:rsid w:val="000F7E81"/>
    <w:rsid w:val="0010089A"/>
    <w:rsid w:val="001020EB"/>
    <w:rsid w:val="001020F3"/>
    <w:rsid w:val="00106AE4"/>
    <w:rsid w:val="00107818"/>
    <w:rsid w:val="00110C05"/>
    <w:rsid w:val="001115EC"/>
    <w:rsid w:val="00116E9C"/>
    <w:rsid w:val="00117559"/>
    <w:rsid w:val="00124662"/>
    <w:rsid w:val="0012478A"/>
    <w:rsid w:val="001253D0"/>
    <w:rsid w:val="001376BB"/>
    <w:rsid w:val="001436AD"/>
    <w:rsid w:val="00151BDC"/>
    <w:rsid w:val="00151E94"/>
    <w:rsid w:val="00153E64"/>
    <w:rsid w:val="00155CDB"/>
    <w:rsid w:val="001574E8"/>
    <w:rsid w:val="00162A69"/>
    <w:rsid w:val="00172708"/>
    <w:rsid w:val="001774FE"/>
    <w:rsid w:val="00180E73"/>
    <w:rsid w:val="00184C0C"/>
    <w:rsid w:val="00185F10"/>
    <w:rsid w:val="00190903"/>
    <w:rsid w:val="0019354B"/>
    <w:rsid w:val="00197AA3"/>
    <w:rsid w:val="00197E43"/>
    <w:rsid w:val="00197FCB"/>
    <w:rsid w:val="001A037E"/>
    <w:rsid w:val="001B417C"/>
    <w:rsid w:val="001B6118"/>
    <w:rsid w:val="001C0D69"/>
    <w:rsid w:val="001C0EC9"/>
    <w:rsid w:val="001C5988"/>
    <w:rsid w:val="001D06D9"/>
    <w:rsid w:val="001D2E15"/>
    <w:rsid w:val="001D6744"/>
    <w:rsid w:val="001D6C77"/>
    <w:rsid w:val="001E54A4"/>
    <w:rsid w:val="001F0EA6"/>
    <w:rsid w:val="001F231C"/>
    <w:rsid w:val="001F4756"/>
    <w:rsid w:val="001F5A2D"/>
    <w:rsid w:val="00201EE7"/>
    <w:rsid w:val="002029B5"/>
    <w:rsid w:val="00203911"/>
    <w:rsid w:val="00206E08"/>
    <w:rsid w:val="0020786A"/>
    <w:rsid w:val="0021019C"/>
    <w:rsid w:val="00210FE4"/>
    <w:rsid w:val="00233151"/>
    <w:rsid w:val="00241A28"/>
    <w:rsid w:val="002443C8"/>
    <w:rsid w:val="002448BC"/>
    <w:rsid w:val="00246DB1"/>
    <w:rsid w:val="0025249F"/>
    <w:rsid w:val="00254269"/>
    <w:rsid w:val="00256A0E"/>
    <w:rsid w:val="00261495"/>
    <w:rsid w:val="00261B79"/>
    <w:rsid w:val="00272D12"/>
    <w:rsid w:val="00273195"/>
    <w:rsid w:val="00274046"/>
    <w:rsid w:val="00274762"/>
    <w:rsid w:val="00275588"/>
    <w:rsid w:val="00276A64"/>
    <w:rsid w:val="00276EE3"/>
    <w:rsid w:val="00283B10"/>
    <w:rsid w:val="002843C4"/>
    <w:rsid w:val="002854D5"/>
    <w:rsid w:val="00285688"/>
    <w:rsid w:val="00285937"/>
    <w:rsid w:val="00287964"/>
    <w:rsid w:val="00290DD2"/>
    <w:rsid w:val="002947CD"/>
    <w:rsid w:val="002A6F52"/>
    <w:rsid w:val="002A7B7A"/>
    <w:rsid w:val="002B0C27"/>
    <w:rsid w:val="002B1486"/>
    <w:rsid w:val="002B384F"/>
    <w:rsid w:val="002C073C"/>
    <w:rsid w:val="002C12DD"/>
    <w:rsid w:val="002C2E2E"/>
    <w:rsid w:val="002C3DD4"/>
    <w:rsid w:val="002C6FEE"/>
    <w:rsid w:val="002D2B73"/>
    <w:rsid w:val="002D55D9"/>
    <w:rsid w:val="002E19FA"/>
    <w:rsid w:val="00301942"/>
    <w:rsid w:val="00303F48"/>
    <w:rsid w:val="00306E36"/>
    <w:rsid w:val="00317801"/>
    <w:rsid w:val="00320A00"/>
    <w:rsid w:val="00321628"/>
    <w:rsid w:val="00322BA9"/>
    <w:rsid w:val="003240F2"/>
    <w:rsid w:val="003253BC"/>
    <w:rsid w:val="00331AF8"/>
    <w:rsid w:val="00332969"/>
    <w:rsid w:val="00333E91"/>
    <w:rsid w:val="003419B0"/>
    <w:rsid w:val="00343645"/>
    <w:rsid w:val="0034445C"/>
    <w:rsid w:val="00347E32"/>
    <w:rsid w:val="00352396"/>
    <w:rsid w:val="003563CF"/>
    <w:rsid w:val="003576A3"/>
    <w:rsid w:val="003607A0"/>
    <w:rsid w:val="00365C43"/>
    <w:rsid w:val="00370008"/>
    <w:rsid w:val="0037002D"/>
    <w:rsid w:val="00374249"/>
    <w:rsid w:val="003756BC"/>
    <w:rsid w:val="00377844"/>
    <w:rsid w:val="003809EA"/>
    <w:rsid w:val="00384820"/>
    <w:rsid w:val="00384BE1"/>
    <w:rsid w:val="00385333"/>
    <w:rsid w:val="00392D15"/>
    <w:rsid w:val="00393A9D"/>
    <w:rsid w:val="003941E7"/>
    <w:rsid w:val="003A24C4"/>
    <w:rsid w:val="003A288B"/>
    <w:rsid w:val="003A5728"/>
    <w:rsid w:val="003B121B"/>
    <w:rsid w:val="003B214F"/>
    <w:rsid w:val="003D0859"/>
    <w:rsid w:val="003D1BE6"/>
    <w:rsid w:val="003E12CF"/>
    <w:rsid w:val="003E671B"/>
    <w:rsid w:val="003F4E58"/>
    <w:rsid w:val="00405F85"/>
    <w:rsid w:val="00422656"/>
    <w:rsid w:val="00422E8E"/>
    <w:rsid w:val="0042372D"/>
    <w:rsid w:val="00423C24"/>
    <w:rsid w:val="0043339E"/>
    <w:rsid w:val="00436083"/>
    <w:rsid w:val="00440258"/>
    <w:rsid w:val="00443007"/>
    <w:rsid w:val="0044311D"/>
    <w:rsid w:val="004517E6"/>
    <w:rsid w:val="00451C6B"/>
    <w:rsid w:val="00453B60"/>
    <w:rsid w:val="00460206"/>
    <w:rsid w:val="00462266"/>
    <w:rsid w:val="0046511E"/>
    <w:rsid w:val="00465179"/>
    <w:rsid w:val="0047750D"/>
    <w:rsid w:val="00482183"/>
    <w:rsid w:val="00482F70"/>
    <w:rsid w:val="00484775"/>
    <w:rsid w:val="00490496"/>
    <w:rsid w:val="0049239E"/>
    <w:rsid w:val="004957F6"/>
    <w:rsid w:val="00496A91"/>
    <w:rsid w:val="004A0183"/>
    <w:rsid w:val="004A0C2A"/>
    <w:rsid w:val="004A2E72"/>
    <w:rsid w:val="004A36A2"/>
    <w:rsid w:val="004A6A69"/>
    <w:rsid w:val="004B0D93"/>
    <w:rsid w:val="004B1D1E"/>
    <w:rsid w:val="004B3AB7"/>
    <w:rsid w:val="004B44C8"/>
    <w:rsid w:val="004C4504"/>
    <w:rsid w:val="004C4FA7"/>
    <w:rsid w:val="004C5A95"/>
    <w:rsid w:val="004D00A8"/>
    <w:rsid w:val="004D36A9"/>
    <w:rsid w:val="004E02F0"/>
    <w:rsid w:val="004E14DD"/>
    <w:rsid w:val="004E2971"/>
    <w:rsid w:val="004E7E73"/>
    <w:rsid w:val="004F1746"/>
    <w:rsid w:val="004F1D3B"/>
    <w:rsid w:val="0050139A"/>
    <w:rsid w:val="00501624"/>
    <w:rsid w:val="00502435"/>
    <w:rsid w:val="00505747"/>
    <w:rsid w:val="00510C36"/>
    <w:rsid w:val="005127C3"/>
    <w:rsid w:val="00516666"/>
    <w:rsid w:val="00524B3E"/>
    <w:rsid w:val="005261F4"/>
    <w:rsid w:val="00526AA9"/>
    <w:rsid w:val="00527118"/>
    <w:rsid w:val="005371C7"/>
    <w:rsid w:val="00544580"/>
    <w:rsid w:val="005474F9"/>
    <w:rsid w:val="00557CBD"/>
    <w:rsid w:val="00567ADA"/>
    <w:rsid w:val="00576432"/>
    <w:rsid w:val="005807B6"/>
    <w:rsid w:val="00581290"/>
    <w:rsid w:val="00586C39"/>
    <w:rsid w:val="00587EBB"/>
    <w:rsid w:val="00590192"/>
    <w:rsid w:val="00590527"/>
    <w:rsid w:val="005913B2"/>
    <w:rsid w:val="0059181A"/>
    <w:rsid w:val="00591A8F"/>
    <w:rsid w:val="00595036"/>
    <w:rsid w:val="005974BE"/>
    <w:rsid w:val="005B435C"/>
    <w:rsid w:val="005C024B"/>
    <w:rsid w:val="005C4CFC"/>
    <w:rsid w:val="005C6182"/>
    <w:rsid w:val="005D5F1C"/>
    <w:rsid w:val="005D68C3"/>
    <w:rsid w:val="005E140E"/>
    <w:rsid w:val="005E3DFE"/>
    <w:rsid w:val="005E44C1"/>
    <w:rsid w:val="005E50A9"/>
    <w:rsid w:val="005E5FB7"/>
    <w:rsid w:val="005F57AC"/>
    <w:rsid w:val="00601BDF"/>
    <w:rsid w:val="006028A7"/>
    <w:rsid w:val="00620B7C"/>
    <w:rsid w:val="0062157F"/>
    <w:rsid w:val="00621784"/>
    <w:rsid w:val="00622F22"/>
    <w:rsid w:val="00623F40"/>
    <w:rsid w:val="00633533"/>
    <w:rsid w:val="00633D19"/>
    <w:rsid w:val="00634D8D"/>
    <w:rsid w:val="00636A7D"/>
    <w:rsid w:val="00636B36"/>
    <w:rsid w:val="00636FC5"/>
    <w:rsid w:val="00641535"/>
    <w:rsid w:val="00642817"/>
    <w:rsid w:val="00642915"/>
    <w:rsid w:val="00645486"/>
    <w:rsid w:val="0065332F"/>
    <w:rsid w:val="0066059C"/>
    <w:rsid w:val="006645D8"/>
    <w:rsid w:val="0066718F"/>
    <w:rsid w:val="006805BC"/>
    <w:rsid w:val="00683EA4"/>
    <w:rsid w:val="00684EE2"/>
    <w:rsid w:val="00687B0E"/>
    <w:rsid w:val="0069115E"/>
    <w:rsid w:val="00697CCB"/>
    <w:rsid w:val="006A26EF"/>
    <w:rsid w:val="006A3BBD"/>
    <w:rsid w:val="006B1F18"/>
    <w:rsid w:val="006B27B5"/>
    <w:rsid w:val="006C5393"/>
    <w:rsid w:val="006C5F3F"/>
    <w:rsid w:val="006C6014"/>
    <w:rsid w:val="006D1216"/>
    <w:rsid w:val="006D6C1C"/>
    <w:rsid w:val="006E342C"/>
    <w:rsid w:val="006E5CA9"/>
    <w:rsid w:val="006F325A"/>
    <w:rsid w:val="006F3EA2"/>
    <w:rsid w:val="006F5B98"/>
    <w:rsid w:val="006F795C"/>
    <w:rsid w:val="00700C00"/>
    <w:rsid w:val="007036BB"/>
    <w:rsid w:val="007124F3"/>
    <w:rsid w:val="007126F4"/>
    <w:rsid w:val="00715CCE"/>
    <w:rsid w:val="0072124B"/>
    <w:rsid w:val="0072239D"/>
    <w:rsid w:val="00724FC4"/>
    <w:rsid w:val="00726811"/>
    <w:rsid w:val="00727303"/>
    <w:rsid w:val="00742B63"/>
    <w:rsid w:val="00744E1F"/>
    <w:rsid w:val="00746B79"/>
    <w:rsid w:val="0075797A"/>
    <w:rsid w:val="0076024C"/>
    <w:rsid w:val="00761903"/>
    <w:rsid w:val="0077054B"/>
    <w:rsid w:val="00775A8D"/>
    <w:rsid w:val="007766AB"/>
    <w:rsid w:val="00776A47"/>
    <w:rsid w:val="00776B3C"/>
    <w:rsid w:val="007777AE"/>
    <w:rsid w:val="00783503"/>
    <w:rsid w:val="00783D52"/>
    <w:rsid w:val="00792396"/>
    <w:rsid w:val="0079553D"/>
    <w:rsid w:val="00795FED"/>
    <w:rsid w:val="007A60E6"/>
    <w:rsid w:val="007A6EA2"/>
    <w:rsid w:val="007B115E"/>
    <w:rsid w:val="007B42AD"/>
    <w:rsid w:val="007B46E8"/>
    <w:rsid w:val="007C0ED6"/>
    <w:rsid w:val="007C20BF"/>
    <w:rsid w:val="007C3788"/>
    <w:rsid w:val="007C6173"/>
    <w:rsid w:val="007D07D9"/>
    <w:rsid w:val="007D308B"/>
    <w:rsid w:val="007E1DAE"/>
    <w:rsid w:val="007F04CA"/>
    <w:rsid w:val="007F19A2"/>
    <w:rsid w:val="007F6909"/>
    <w:rsid w:val="00800044"/>
    <w:rsid w:val="00810F50"/>
    <w:rsid w:val="008112B4"/>
    <w:rsid w:val="00816D7D"/>
    <w:rsid w:val="008211E7"/>
    <w:rsid w:val="00837EAB"/>
    <w:rsid w:val="00845592"/>
    <w:rsid w:val="00847CDA"/>
    <w:rsid w:val="00847E1E"/>
    <w:rsid w:val="008503B5"/>
    <w:rsid w:val="00860C61"/>
    <w:rsid w:val="008628AD"/>
    <w:rsid w:val="008710DB"/>
    <w:rsid w:val="0087355A"/>
    <w:rsid w:val="00873F64"/>
    <w:rsid w:val="00876818"/>
    <w:rsid w:val="008825A5"/>
    <w:rsid w:val="00882A05"/>
    <w:rsid w:val="00884315"/>
    <w:rsid w:val="008844EA"/>
    <w:rsid w:val="0089065D"/>
    <w:rsid w:val="008912DC"/>
    <w:rsid w:val="008978A7"/>
    <w:rsid w:val="00897D98"/>
    <w:rsid w:val="008A18AB"/>
    <w:rsid w:val="008A2B36"/>
    <w:rsid w:val="008A5679"/>
    <w:rsid w:val="008A7BA8"/>
    <w:rsid w:val="008A7F01"/>
    <w:rsid w:val="008B3AB0"/>
    <w:rsid w:val="008C0031"/>
    <w:rsid w:val="008C20D3"/>
    <w:rsid w:val="008C3EB0"/>
    <w:rsid w:val="008C566A"/>
    <w:rsid w:val="008D02F6"/>
    <w:rsid w:val="008D591A"/>
    <w:rsid w:val="008D6EB1"/>
    <w:rsid w:val="008D77D0"/>
    <w:rsid w:val="008E11DA"/>
    <w:rsid w:val="008E1330"/>
    <w:rsid w:val="008F4AAE"/>
    <w:rsid w:val="00902278"/>
    <w:rsid w:val="00906FAC"/>
    <w:rsid w:val="00907928"/>
    <w:rsid w:val="00922257"/>
    <w:rsid w:val="00937AF9"/>
    <w:rsid w:val="009403AB"/>
    <w:rsid w:val="0094182A"/>
    <w:rsid w:val="00943B6F"/>
    <w:rsid w:val="00946651"/>
    <w:rsid w:val="00947F6E"/>
    <w:rsid w:val="0095149C"/>
    <w:rsid w:val="009553E5"/>
    <w:rsid w:val="009565EE"/>
    <w:rsid w:val="0096337F"/>
    <w:rsid w:val="00964330"/>
    <w:rsid w:val="00967F2C"/>
    <w:rsid w:val="0097334C"/>
    <w:rsid w:val="00974334"/>
    <w:rsid w:val="00980C27"/>
    <w:rsid w:val="00982C4C"/>
    <w:rsid w:val="009843FF"/>
    <w:rsid w:val="0099108A"/>
    <w:rsid w:val="00994909"/>
    <w:rsid w:val="009978FB"/>
    <w:rsid w:val="009A0C16"/>
    <w:rsid w:val="009A4206"/>
    <w:rsid w:val="009A42EE"/>
    <w:rsid w:val="009A6007"/>
    <w:rsid w:val="009B43B1"/>
    <w:rsid w:val="009C3388"/>
    <w:rsid w:val="009C67E2"/>
    <w:rsid w:val="009C786B"/>
    <w:rsid w:val="009D1C65"/>
    <w:rsid w:val="009D3873"/>
    <w:rsid w:val="009D437F"/>
    <w:rsid w:val="009D4BFF"/>
    <w:rsid w:val="009D7AFE"/>
    <w:rsid w:val="009F00B6"/>
    <w:rsid w:val="009F10E5"/>
    <w:rsid w:val="009F2096"/>
    <w:rsid w:val="009F4D8A"/>
    <w:rsid w:val="009F6DE6"/>
    <w:rsid w:val="00A011AA"/>
    <w:rsid w:val="00A1607D"/>
    <w:rsid w:val="00A20D79"/>
    <w:rsid w:val="00A22CE4"/>
    <w:rsid w:val="00A27552"/>
    <w:rsid w:val="00A30FD3"/>
    <w:rsid w:val="00A318A9"/>
    <w:rsid w:val="00A46F75"/>
    <w:rsid w:val="00A60A88"/>
    <w:rsid w:val="00A6166B"/>
    <w:rsid w:val="00A65D1B"/>
    <w:rsid w:val="00A711AC"/>
    <w:rsid w:val="00A82E56"/>
    <w:rsid w:val="00A83CAD"/>
    <w:rsid w:val="00A95814"/>
    <w:rsid w:val="00A97141"/>
    <w:rsid w:val="00AA1DFD"/>
    <w:rsid w:val="00AC5B9B"/>
    <w:rsid w:val="00AD2480"/>
    <w:rsid w:val="00AD478E"/>
    <w:rsid w:val="00AD785D"/>
    <w:rsid w:val="00AE25A4"/>
    <w:rsid w:val="00AE356A"/>
    <w:rsid w:val="00AE4ABF"/>
    <w:rsid w:val="00AE7CC5"/>
    <w:rsid w:val="00AF2DA7"/>
    <w:rsid w:val="00AF444B"/>
    <w:rsid w:val="00B010EF"/>
    <w:rsid w:val="00B07CF3"/>
    <w:rsid w:val="00B11741"/>
    <w:rsid w:val="00B15052"/>
    <w:rsid w:val="00B1747A"/>
    <w:rsid w:val="00B30CE0"/>
    <w:rsid w:val="00B31316"/>
    <w:rsid w:val="00B338FA"/>
    <w:rsid w:val="00B4055C"/>
    <w:rsid w:val="00B411E9"/>
    <w:rsid w:val="00B43208"/>
    <w:rsid w:val="00B5185A"/>
    <w:rsid w:val="00B51DCF"/>
    <w:rsid w:val="00B55AEF"/>
    <w:rsid w:val="00B640B0"/>
    <w:rsid w:val="00B70523"/>
    <w:rsid w:val="00B730CC"/>
    <w:rsid w:val="00B733B7"/>
    <w:rsid w:val="00B73F95"/>
    <w:rsid w:val="00B74E53"/>
    <w:rsid w:val="00B80CDC"/>
    <w:rsid w:val="00B84772"/>
    <w:rsid w:val="00B91979"/>
    <w:rsid w:val="00B9480A"/>
    <w:rsid w:val="00BA23EB"/>
    <w:rsid w:val="00BA51D1"/>
    <w:rsid w:val="00BA51DD"/>
    <w:rsid w:val="00BB53C3"/>
    <w:rsid w:val="00BB6B89"/>
    <w:rsid w:val="00BB7440"/>
    <w:rsid w:val="00BC29D5"/>
    <w:rsid w:val="00BC3978"/>
    <w:rsid w:val="00BD385E"/>
    <w:rsid w:val="00BD5F43"/>
    <w:rsid w:val="00BD6F3A"/>
    <w:rsid w:val="00BE4C47"/>
    <w:rsid w:val="00BE5A50"/>
    <w:rsid w:val="00BF1A0B"/>
    <w:rsid w:val="00BF4784"/>
    <w:rsid w:val="00BF4F10"/>
    <w:rsid w:val="00BF55E9"/>
    <w:rsid w:val="00BF63EF"/>
    <w:rsid w:val="00C004CE"/>
    <w:rsid w:val="00C02AF0"/>
    <w:rsid w:val="00C12504"/>
    <w:rsid w:val="00C174C5"/>
    <w:rsid w:val="00C21805"/>
    <w:rsid w:val="00C21AE9"/>
    <w:rsid w:val="00C22516"/>
    <w:rsid w:val="00C2671A"/>
    <w:rsid w:val="00C351B4"/>
    <w:rsid w:val="00C3693A"/>
    <w:rsid w:val="00C37C2D"/>
    <w:rsid w:val="00C37CD9"/>
    <w:rsid w:val="00C40FAA"/>
    <w:rsid w:val="00C4395F"/>
    <w:rsid w:val="00C477BB"/>
    <w:rsid w:val="00C50024"/>
    <w:rsid w:val="00C61BA4"/>
    <w:rsid w:val="00C63A34"/>
    <w:rsid w:val="00C6571F"/>
    <w:rsid w:val="00C71420"/>
    <w:rsid w:val="00C73D13"/>
    <w:rsid w:val="00C77A06"/>
    <w:rsid w:val="00C867E9"/>
    <w:rsid w:val="00C87E94"/>
    <w:rsid w:val="00C90F7E"/>
    <w:rsid w:val="00CA0331"/>
    <w:rsid w:val="00CA442D"/>
    <w:rsid w:val="00CA4DEB"/>
    <w:rsid w:val="00CA57AB"/>
    <w:rsid w:val="00CA7D26"/>
    <w:rsid w:val="00CB303D"/>
    <w:rsid w:val="00CC037A"/>
    <w:rsid w:val="00CD11C9"/>
    <w:rsid w:val="00CD2357"/>
    <w:rsid w:val="00CE1966"/>
    <w:rsid w:val="00CE19F2"/>
    <w:rsid w:val="00CE3D55"/>
    <w:rsid w:val="00CE7209"/>
    <w:rsid w:val="00CF0740"/>
    <w:rsid w:val="00CF386C"/>
    <w:rsid w:val="00CF739E"/>
    <w:rsid w:val="00D02346"/>
    <w:rsid w:val="00D03364"/>
    <w:rsid w:val="00D05248"/>
    <w:rsid w:val="00D12242"/>
    <w:rsid w:val="00D1702D"/>
    <w:rsid w:val="00D174E7"/>
    <w:rsid w:val="00D31C2E"/>
    <w:rsid w:val="00D321B3"/>
    <w:rsid w:val="00D336F5"/>
    <w:rsid w:val="00D347E2"/>
    <w:rsid w:val="00D36921"/>
    <w:rsid w:val="00D371BA"/>
    <w:rsid w:val="00D37353"/>
    <w:rsid w:val="00D374B7"/>
    <w:rsid w:val="00D46609"/>
    <w:rsid w:val="00D54C96"/>
    <w:rsid w:val="00D560BA"/>
    <w:rsid w:val="00D566FA"/>
    <w:rsid w:val="00D65B97"/>
    <w:rsid w:val="00D670F1"/>
    <w:rsid w:val="00D6797C"/>
    <w:rsid w:val="00D72133"/>
    <w:rsid w:val="00D81D3D"/>
    <w:rsid w:val="00D82999"/>
    <w:rsid w:val="00D842F4"/>
    <w:rsid w:val="00D8785A"/>
    <w:rsid w:val="00D9381B"/>
    <w:rsid w:val="00DA3695"/>
    <w:rsid w:val="00DA37C1"/>
    <w:rsid w:val="00DA43BE"/>
    <w:rsid w:val="00DB654F"/>
    <w:rsid w:val="00DC75DE"/>
    <w:rsid w:val="00DD1C13"/>
    <w:rsid w:val="00DD2BBD"/>
    <w:rsid w:val="00DD32F5"/>
    <w:rsid w:val="00DD52A1"/>
    <w:rsid w:val="00DE16C0"/>
    <w:rsid w:val="00DE2652"/>
    <w:rsid w:val="00DE736B"/>
    <w:rsid w:val="00DF2B4B"/>
    <w:rsid w:val="00E064C5"/>
    <w:rsid w:val="00E077D7"/>
    <w:rsid w:val="00E1334D"/>
    <w:rsid w:val="00E137C6"/>
    <w:rsid w:val="00E14197"/>
    <w:rsid w:val="00E16EBE"/>
    <w:rsid w:val="00E17D6A"/>
    <w:rsid w:val="00E2136F"/>
    <w:rsid w:val="00E2152B"/>
    <w:rsid w:val="00E2427A"/>
    <w:rsid w:val="00E25EC8"/>
    <w:rsid w:val="00E3361E"/>
    <w:rsid w:val="00E43928"/>
    <w:rsid w:val="00E45CAB"/>
    <w:rsid w:val="00E53DF7"/>
    <w:rsid w:val="00E540AD"/>
    <w:rsid w:val="00E540BF"/>
    <w:rsid w:val="00E54261"/>
    <w:rsid w:val="00E57E08"/>
    <w:rsid w:val="00E57F79"/>
    <w:rsid w:val="00E705D7"/>
    <w:rsid w:val="00E72547"/>
    <w:rsid w:val="00E72FD0"/>
    <w:rsid w:val="00E73D27"/>
    <w:rsid w:val="00E772C2"/>
    <w:rsid w:val="00E85282"/>
    <w:rsid w:val="00E8599E"/>
    <w:rsid w:val="00E87148"/>
    <w:rsid w:val="00E9388D"/>
    <w:rsid w:val="00E95B7F"/>
    <w:rsid w:val="00EA3B32"/>
    <w:rsid w:val="00EB53CE"/>
    <w:rsid w:val="00EC0622"/>
    <w:rsid w:val="00EC7925"/>
    <w:rsid w:val="00ED071E"/>
    <w:rsid w:val="00ED148C"/>
    <w:rsid w:val="00ED3DC1"/>
    <w:rsid w:val="00ED57E7"/>
    <w:rsid w:val="00EE0B4C"/>
    <w:rsid w:val="00EE5962"/>
    <w:rsid w:val="00EE6AD4"/>
    <w:rsid w:val="00EE6FC6"/>
    <w:rsid w:val="00EE7B57"/>
    <w:rsid w:val="00EE7D3E"/>
    <w:rsid w:val="00EF0A03"/>
    <w:rsid w:val="00EF0C56"/>
    <w:rsid w:val="00EF0C99"/>
    <w:rsid w:val="00EF3731"/>
    <w:rsid w:val="00EF3D45"/>
    <w:rsid w:val="00F03667"/>
    <w:rsid w:val="00F07457"/>
    <w:rsid w:val="00F13E94"/>
    <w:rsid w:val="00F14F56"/>
    <w:rsid w:val="00F1566F"/>
    <w:rsid w:val="00F16B28"/>
    <w:rsid w:val="00F2450F"/>
    <w:rsid w:val="00F24922"/>
    <w:rsid w:val="00F32E26"/>
    <w:rsid w:val="00F3579A"/>
    <w:rsid w:val="00F42869"/>
    <w:rsid w:val="00F43B33"/>
    <w:rsid w:val="00F44F3C"/>
    <w:rsid w:val="00F50BE7"/>
    <w:rsid w:val="00F62B7C"/>
    <w:rsid w:val="00F67ABD"/>
    <w:rsid w:val="00F700E4"/>
    <w:rsid w:val="00F73893"/>
    <w:rsid w:val="00F762C5"/>
    <w:rsid w:val="00F77A31"/>
    <w:rsid w:val="00F804B5"/>
    <w:rsid w:val="00F82282"/>
    <w:rsid w:val="00F86D72"/>
    <w:rsid w:val="00F900E4"/>
    <w:rsid w:val="00F93DA3"/>
    <w:rsid w:val="00FA09C8"/>
    <w:rsid w:val="00FA32DD"/>
    <w:rsid w:val="00FA5308"/>
    <w:rsid w:val="00FB2969"/>
    <w:rsid w:val="00FC2341"/>
    <w:rsid w:val="00FC2427"/>
    <w:rsid w:val="00FC5782"/>
    <w:rsid w:val="00FC62AD"/>
    <w:rsid w:val="00FC747F"/>
    <w:rsid w:val="00FD373B"/>
    <w:rsid w:val="00FE2B32"/>
    <w:rsid w:val="00FE3297"/>
    <w:rsid w:val="00FE47FD"/>
    <w:rsid w:val="00FF14C9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26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52"/>
    <w:pPr>
      <w:tabs>
        <w:tab w:val="left" w:pos="432"/>
      </w:tabs>
      <w:spacing w:after="240" w:line="360" w:lineRule="auto"/>
      <w:contextualSpacing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qFormat/>
    <w:rsid w:val="00AE4ABF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C0570"/>
    <w:pPr>
      <w:framePr w:w="7920" w:h="1980" w:hRule="exact" w:hSpace="180" w:wrap="auto" w:hAnchor="page" w:xAlign="center" w:yAlign="bottom"/>
      <w:ind w:left="2880"/>
    </w:pPr>
    <w:rPr>
      <w:rFonts w:ascii="Trebuchet MS" w:hAnsi="Trebuchet MS" w:cs="Arial"/>
    </w:rPr>
  </w:style>
  <w:style w:type="character" w:styleId="LineNumber">
    <w:name w:val="line number"/>
    <w:basedOn w:val="DefaultParagraphFont"/>
    <w:rsid w:val="002A6F52"/>
    <w:rPr>
      <w:rFonts w:ascii="Arial" w:hAnsi="Arial"/>
      <w:sz w:val="18"/>
    </w:rPr>
  </w:style>
  <w:style w:type="paragraph" w:customStyle="1" w:styleId="Callout">
    <w:name w:val="Callout"/>
    <w:basedOn w:val="Normal"/>
    <w:next w:val="Normal"/>
    <w:rsid w:val="002A6F52"/>
    <w:pPr>
      <w:pBdr>
        <w:top w:val="single" w:sz="12" w:space="1" w:color="009933"/>
        <w:bottom w:val="single" w:sz="12" w:space="1" w:color="009933"/>
      </w:pBdr>
      <w:spacing w:before="240"/>
      <w:jc w:val="center"/>
    </w:pPr>
    <w:rPr>
      <w:b/>
      <w:i/>
    </w:rPr>
  </w:style>
  <w:style w:type="table" w:styleId="TableSimple1">
    <w:name w:val="Table Simple 1"/>
    <w:aliases w:val="Table house style"/>
    <w:basedOn w:val="TableNormal"/>
    <w:rsid w:val="00641535"/>
    <w:pPr>
      <w:tabs>
        <w:tab w:val="left" w:pos="432"/>
      </w:tabs>
      <w:spacing w:after="240" w:line="360" w:lineRule="auto"/>
      <w:contextualSpacing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rPr>
        <w:rFonts w:ascii="Arial" w:hAnsi="Arial"/>
        <w:b/>
        <w:sz w:val="20"/>
      </w:rPr>
      <w:tblPr/>
      <w:tcPr>
        <w:tcBorders>
          <w:top w:val="single" w:sz="12" w:space="0" w:color="009933"/>
          <w:bottom w:val="single" w:sz="6" w:space="0" w:color="009933"/>
        </w:tcBorders>
        <w:shd w:val="clear" w:color="auto" w:fill="auto"/>
      </w:tcPr>
    </w:tblStylePr>
    <w:tblStylePr w:type="lastRow">
      <w:tblPr/>
      <w:tcPr>
        <w:tcBorders>
          <w:top w:val="nil"/>
          <w:bottom w:val="single" w:sz="12" w:space="0" w:color="009933"/>
        </w:tcBorders>
        <w:shd w:val="clear" w:color="auto" w:fill="auto"/>
      </w:tcPr>
    </w:tblStylePr>
  </w:style>
  <w:style w:type="paragraph" w:styleId="Quote">
    <w:name w:val="Quote"/>
    <w:basedOn w:val="Normal"/>
    <w:qFormat/>
    <w:rsid w:val="007E1DAE"/>
    <w:pPr>
      <w:spacing w:before="120" w:after="120"/>
      <w:ind w:left="432"/>
    </w:pPr>
    <w:rPr>
      <w:i/>
    </w:rPr>
  </w:style>
  <w:style w:type="paragraph" w:customStyle="1" w:styleId="Costs">
    <w:name w:val="Costs"/>
    <w:basedOn w:val="ListBullet"/>
    <w:rsid w:val="00274046"/>
    <w:pPr>
      <w:tabs>
        <w:tab w:val="right" w:pos="8640"/>
      </w:tabs>
    </w:pPr>
  </w:style>
  <w:style w:type="paragraph" w:styleId="Footer">
    <w:name w:val="footer"/>
    <w:basedOn w:val="Normal"/>
    <w:rsid w:val="00274046"/>
    <w:pPr>
      <w:tabs>
        <w:tab w:val="clear" w:pos="432"/>
        <w:tab w:val="center" w:pos="4153"/>
        <w:tab w:val="right" w:pos="8306"/>
      </w:tabs>
    </w:pPr>
  </w:style>
  <w:style w:type="paragraph" w:styleId="ListBullet">
    <w:name w:val="List Bullet"/>
    <w:basedOn w:val="Normal"/>
    <w:rsid w:val="009A0C16"/>
    <w:pPr>
      <w:tabs>
        <w:tab w:val="clear" w:pos="432"/>
      </w:tabs>
    </w:pPr>
  </w:style>
  <w:style w:type="character" w:styleId="PageNumber">
    <w:name w:val="page number"/>
    <w:basedOn w:val="DefaultParagraphFont"/>
    <w:rsid w:val="00274046"/>
    <w:rPr>
      <w:rFonts w:ascii="Arial" w:hAnsi="Arial"/>
      <w:sz w:val="18"/>
    </w:rPr>
  </w:style>
  <w:style w:type="paragraph" w:styleId="Header">
    <w:name w:val="header"/>
    <w:basedOn w:val="Normal"/>
    <w:rsid w:val="00274046"/>
    <w:pPr>
      <w:tabs>
        <w:tab w:val="clear" w:pos="432"/>
        <w:tab w:val="center" w:pos="4153"/>
        <w:tab w:val="right" w:pos="8306"/>
      </w:tabs>
    </w:pPr>
  </w:style>
  <w:style w:type="numbering" w:customStyle="1" w:styleId="StyleBulletedSymbolsymbolLeft03Hanging03">
    <w:name w:val="Style Bulleted Symbol (symbol) Left:  0.3&quot; Hanging:  0.3&quot;"/>
    <w:basedOn w:val="NoList"/>
    <w:rsid w:val="00EC7925"/>
    <w:pPr>
      <w:numPr>
        <w:numId w:val="20"/>
      </w:numPr>
    </w:pPr>
  </w:style>
  <w:style w:type="character" w:customStyle="1" w:styleId="Chead">
    <w:name w:val="C head"/>
    <w:rsid w:val="00AE4ABF"/>
    <w:rPr>
      <w:rFonts w:ascii="Arial" w:hAnsi="Arial"/>
      <w:b/>
    </w:rPr>
  </w:style>
  <w:style w:type="character" w:customStyle="1" w:styleId="Dhead">
    <w:name w:val="D head"/>
    <w:rsid w:val="00AE4ABF"/>
    <w:rPr>
      <w:rFonts w:ascii="Arial" w:hAnsi="Arial"/>
      <w:i/>
    </w:rPr>
  </w:style>
  <w:style w:type="paragraph" w:customStyle="1" w:styleId="Readinglist">
    <w:name w:val="Reading list"/>
    <w:basedOn w:val="Normal"/>
    <w:rsid w:val="007E1DAE"/>
    <w:pPr>
      <w:tabs>
        <w:tab w:val="clear" w:pos="432"/>
      </w:tabs>
      <w:spacing w:after="0"/>
      <w:ind w:left="432" w:hanging="432"/>
      <w:contextualSpacing w:val="0"/>
    </w:pPr>
  </w:style>
  <w:style w:type="paragraph" w:customStyle="1" w:styleId="Houselist">
    <w:name w:val="House list"/>
    <w:basedOn w:val="ListBullet"/>
    <w:rsid w:val="009A0C16"/>
    <w:pPr>
      <w:numPr>
        <w:numId w:val="5"/>
      </w:numPr>
      <w:spacing w:after="120"/>
    </w:pPr>
  </w:style>
  <w:style w:type="paragraph" w:styleId="TOC1">
    <w:name w:val="toc 1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</w:pPr>
  </w:style>
  <w:style w:type="paragraph" w:styleId="TOC2">
    <w:name w:val="toc 2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  <w:ind w:left="216"/>
    </w:pPr>
  </w:style>
  <w:style w:type="paragraph" w:styleId="TOC3">
    <w:name w:val="toc 3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  <w:ind w:left="446"/>
    </w:pPr>
  </w:style>
  <w:style w:type="paragraph" w:styleId="BalloonText">
    <w:name w:val="Balloon Text"/>
    <w:basedOn w:val="Normal"/>
    <w:semiHidden/>
    <w:rsid w:val="00405F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54269"/>
    <w:rPr>
      <w:rFonts w:ascii="Arial" w:eastAsia="Calibri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52"/>
    <w:pPr>
      <w:tabs>
        <w:tab w:val="left" w:pos="432"/>
      </w:tabs>
      <w:spacing w:after="240" w:line="360" w:lineRule="auto"/>
      <w:contextualSpacing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qFormat/>
    <w:rsid w:val="00AE4ABF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C0570"/>
    <w:pPr>
      <w:framePr w:w="7920" w:h="1980" w:hRule="exact" w:hSpace="180" w:wrap="auto" w:hAnchor="page" w:xAlign="center" w:yAlign="bottom"/>
      <w:ind w:left="2880"/>
    </w:pPr>
    <w:rPr>
      <w:rFonts w:ascii="Trebuchet MS" w:hAnsi="Trebuchet MS" w:cs="Arial"/>
    </w:rPr>
  </w:style>
  <w:style w:type="character" w:styleId="LineNumber">
    <w:name w:val="line number"/>
    <w:basedOn w:val="DefaultParagraphFont"/>
    <w:rsid w:val="002A6F52"/>
    <w:rPr>
      <w:rFonts w:ascii="Arial" w:hAnsi="Arial"/>
      <w:sz w:val="18"/>
    </w:rPr>
  </w:style>
  <w:style w:type="paragraph" w:customStyle="1" w:styleId="Callout">
    <w:name w:val="Callout"/>
    <w:basedOn w:val="Normal"/>
    <w:next w:val="Normal"/>
    <w:rsid w:val="002A6F52"/>
    <w:pPr>
      <w:pBdr>
        <w:top w:val="single" w:sz="12" w:space="1" w:color="009933"/>
        <w:bottom w:val="single" w:sz="12" w:space="1" w:color="009933"/>
      </w:pBdr>
      <w:spacing w:before="240"/>
      <w:jc w:val="center"/>
    </w:pPr>
    <w:rPr>
      <w:b/>
      <w:i/>
    </w:rPr>
  </w:style>
  <w:style w:type="table" w:styleId="TableSimple1">
    <w:name w:val="Table Simple 1"/>
    <w:aliases w:val="Table house style"/>
    <w:basedOn w:val="TableNormal"/>
    <w:rsid w:val="00641535"/>
    <w:pPr>
      <w:tabs>
        <w:tab w:val="left" w:pos="432"/>
      </w:tabs>
      <w:spacing w:after="240" w:line="360" w:lineRule="auto"/>
      <w:contextualSpacing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rPr>
        <w:rFonts w:ascii="Arial" w:hAnsi="Arial"/>
        <w:b/>
        <w:sz w:val="20"/>
      </w:rPr>
      <w:tblPr/>
      <w:tcPr>
        <w:tcBorders>
          <w:top w:val="single" w:sz="12" w:space="0" w:color="009933"/>
          <w:bottom w:val="single" w:sz="6" w:space="0" w:color="009933"/>
        </w:tcBorders>
        <w:shd w:val="clear" w:color="auto" w:fill="auto"/>
      </w:tcPr>
    </w:tblStylePr>
    <w:tblStylePr w:type="lastRow">
      <w:tblPr/>
      <w:tcPr>
        <w:tcBorders>
          <w:top w:val="nil"/>
          <w:bottom w:val="single" w:sz="12" w:space="0" w:color="009933"/>
        </w:tcBorders>
        <w:shd w:val="clear" w:color="auto" w:fill="auto"/>
      </w:tcPr>
    </w:tblStylePr>
  </w:style>
  <w:style w:type="paragraph" w:styleId="Quote">
    <w:name w:val="Quote"/>
    <w:basedOn w:val="Normal"/>
    <w:qFormat/>
    <w:rsid w:val="007E1DAE"/>
    <w:pPr>
      <w:spacing w:before="120" w:after="120"/>
      <w:ind w:left="432"/>
    </w:pPr>
    <w:rPr>
      <w:i/>
    </w:rPr>
  </w:style>
  <w:style w:type="paragraph" w:customStyle="1" w:styleId="Costs">
    <w:name w:val="Costs"/>
    <w:basedOn w:val="ListBullet"/>
    <w:rsid w:val="00274046"/>
    <w:pPr>
      <w:tabs>
        <w:tab w:val="right" w:pos="8640"/>
      </w:tabs>
    </w:pPr>
  </w:style>
  <w:style w:type="paragraph" w:styleId="Footer">
    <w:name w:val="footer"/>
    <w:basedOn w:val="Normal"/>
    <w:rsid w:val="00274046"/>
    <w:pPr>
      <w:tabs>
        <w:tab w:val="clear" w:pos="432"/>
        <w:tab w:val="center" w:pos="4153"/>
        <w:tab w:val="right" w:pos="8306"/>
      </w:tabs>
    </w:pPr>
  </w:style>
  <w:style w:type="paragraph" w:styleId="ListBullet">
    <w:name w:val="List Bullet"/>
    <w:basedOn w:val="Normal"/>
    <w:rsid w:val="009A0C16"/>
    <w:pPr>
      <w:tabs>
        <w:tab w:val="clear" w:pos="432"/>
      </w:tabs>
    </w:pPr>
  </w:style>
  <w:style w:type="character" w:styleId="PageNumber">
    <w:name w:val="page number"/>
    <w:basedOn w:val="DefaultParagraphFont"/>
    <w:rsid w:val="00274046"/>
    <w:rPr>
      <w:rFonts w:ascii="Arial" w:hAnsi="Arial"/>
      <w:sz w:val="18"/>
    </w:rPr>
  </w:style>
  <w:style w:type="paragraph" w:styleId="Header">
    <w:name w:val="header"/>
    <w:basedOn w:val="Normal"/>
    <w:rsid w:val="00274046"/>
    <w:pPr>
      <w:tabs>
        <w:tab w:val="clear" w:pos="432"/>
        <w:tab w:val="center" w:pos="4153"/>
        <w:tab w:val="right" w:pos="8306"/>
      </w:tabs>
    </w:pPr>
  </w:style>
  <w:style w:type="numbering" w:customStyle="1" w:styleId="StyleBulletedSymbolsymbolLeft03Hanging03">
    <w:name w:val="Style Bulleted Symbol (symbol) Left:  0.3&quot; Hanging:  0.3&quot;"/>
    <w:basedOn w:val="NoList"/>
    <w:rsid w:val="00EC7925"/>
    <w:pPr>
      <w:numPr>
        <w:numId w:val="20"/>
      </w:numPr>
    </w:pPr>
  </w:style>
  <w:style w:type="character" w:customStyle="1" w:styleId="Chead">
    <w:name w:val="C head"/>
    <w:rsid w:val="00AE4ABF"/>
    <w:rPr>
      <w:rFonts w:ascii="Arial" w:hAnsi="Arial"/>
      <w:b/>
    </w:rPr>
  </w:style>
  <w:style w:type="character" w:customStyle="1" w:styleId="Dhead">
    <w:name w:val="D head"/>
    <w:rsid w:val="00AE4ABF"/>
    <w:rPr>
      <w:rFonts w:ascii="Arial" w:hAnsi="Arial"/>
      <w:i/>
    </w:rPr>
  </w:style>
  <w:style w:type="paragraph" w:customStyle="1" w:styleId="Readinglist">
    <w:name w:val="Reading list"/>
    <w:basedOn w:val="Normal"/>
    <w:rsid w:val="007E1DAE"/>
    <w:pPr>
      <w:tabs>
        <w:tab w:val="clear" w:pos="432"/>
      </w:tabs>
      <w:spacing w:after="0"/>
      <w:ind w:left="432" w:hanging="432"/>
      <w:contextualSpacing w:val="0"/>
    </w:pPr>
  </w:style>
  <w:style w:type="paragraph" w:customStyle="1" w:styleId="Houselist">
    <w:name w:val="House list"/>
    <w:basedOn w:val="ListBullet"/>
    <w:rsid w:val="009A0C16"/>
    <w:pPr>
      <w:numPr>
        <w:numId w:val="5"/>
      </w:numPr>
      <w:spacing w:after="120"/>
    </w:pPr>
  </w:style>
  <w:style w:type="paragraph" w:styleId="TOC1">
    <w:name w:val="toc 1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</w:pPr>
  </w:style>
  <w:style w:type="paragraph" w:styleId="TOC2">
    <w:name w:val="toc 2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  <w:ind w:left="216"/>
    </w:pPr>
  </w:style>
  <w:style w:type="paragraph" w:styleId="TOC3">
    <w:name w:val="toc 3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  <w:ind w:left="446"/>
    </w:pPr>
  </w:style>
  <w:style w:type="paragraph" w:styleId="BalloonText">
    <w:name w:val="Balloon Text"/>
    <w:basedOn w:val="Normal"/>
    <w:semiHidden/>
    <w:rsid w:val="00405F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54269"/>
    <w:rPr>
      <w:rFonts w:ascii="Arial" w:eastAsia="Calibri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audex HS">
      <a:dk1>
        <a:srgbClr val="000000"/>
      </a:dk1>
      <a:lt1>
        <a:srgbClr val="FFFFFF"/>
      </a:lt1>
      <a:dk2>
        <a:srgbClr val="009933"/>
      </a:dk2>
      <a:lt2>
        <a:srgbClr val="BFBFBF"/>
      </a:lt2>
      <a:accent1>
        <a:srgbClr val="009933"/>
      </a:accent1>
      <a:accent2>
        <a:srgbClr val="66CC00"/>
      </a:accent2>
      <a:accent3>
        <a:srgbClr val="FF9600"/>
      </a:accent3>
      <a:accent4>
        <a:srgbClr val="3874D1"/>
      </a:accent4>
      <a:accent5>
        <a:srgbClr val="BFBFBF"/>
      </a:accent5>
      <a:accent6>
        <a:srgbClr val="000000"/>
      </a:accent6>
      <a:hlink>
        <a:srgbClr val="009933"/>
      </a:hlink>
      <a:folHlink>
        <a:srgbClr val="3874D1"/>
      </a:folHlink>
    </a:clrScheme>
    <a:fontScheme name="Hou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C39448C1F8240986F95E6790127DF" ma:contentTypeVersion="0" ma:contentTypeDescription="Create a new document." ma:contentTypeScope="" ma:versionID="f8448a03c9bcbaa35988b3f5ef68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1FE68-8E6E-4EB4-9A5A-188AB5251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C48096-8E2F-4D08-B90F-13F0AC876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93E0C-19D6-4928-AA65-C56FA625CB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076E98-49AA-40F3-B899-2CCBE5E0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1387</Characters>
  <Application>Microsoft Office Word</Application>
  <DocSecurity>0</DocSecurity>
  <Lines>138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Tetlow, Mary (OXF-CDX)</dc:creator>
  <cp:keywords/>
  <dc:description/>
  <cp:lastModifiedBy>EDABO-ABO</cp:lastModifiedBy>
  <cp:revision>4</cp:revision>
  <dcterms:created xsi:type="dcterms:W3CDTF">2018-09-04T20:34:00Z</dcterms:created>
  <dcterms:modified xsi:type="dcterms:W3CDTF">2018-11-17T07:31:00Z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0x01010040BC39448C1F8240986F95E6790127DF</vt:lpwstr>
  </property>
  <property fmtid="{D5CDD505-2E9C-101B-9397-08002B2CF9AE}" pid="3" name="Order">
    <vt:r8>18100</vt:r8>
  </property>
  <property fmtid="{D5CDD505-2E9C-101B-9397-08002B2CF9AE}" pid="4" name="TemplateUrl">
    <vt:lpwstr/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