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1F3A3" w14:textId="6214DCF2" w:rsidR="00BA448B" w:rsidRDefault="00BA448B" w:rsidP="00BA448B">
      <w:pPr>
        <w:pStyle w:val="Caption"/>
        <w:spacing w:after="0" w:line="480" w:lineRule="auto"/>
        <w:jc w:val="both"/>
        <w:rPr>
          <w:rFonts w:ascii="Times New Roman" w:hAnsi="Times New Roman"/>
          <w:b w:val="0"/>
          <w:color w:val="000000"/>
          <w:sz w:val="24"/>
          <w:szCs w:val="24"/>
          <w:lang w:val="en-US"/>
        </w:rPr>
      </w:pPr>
      <w:r w:rsidRPr="00DB1E26">
        <w:rPr>
          <w:rFonts w:ascii="Times New Roman" w:hAnsi="Times New Roman"/>
          <w:color w:val="000000"/>
          <w:sz w:val="24"/>
          <w:szCs w:val="24"/>
          <w:lang w:val="en-US"/>
        </w:rPr>
        <w:t xml:space="preserve">Additional </w:t>
      </w:r>
      <w:r w:rsidR="00585223" w:rsidRPr="00DB1E26">
        <w:rPr>
          <w:rFonts w:ascii="Times New Roman" w:hAnsi="Times New Roman"/>
          <w:color w:val="000000"/>
          <w:sz w:val="24"/>
          <w:szCs w:val="24"/>
          <w:lang w:val="en-US"/>
        </w:rPr>
        <w:t xml:space="preserve">File </w:t>
      </w:r>
      <w:r w:rsidR="00291442" w:rsidRPr="00DB1E26">
        <w:rPr>
          <w:rFonts w:ascii="Times New Roman" w:hAnsi="Times New Roman"/>
          <w:color w:val="000000"/>
          <w:sz w:val="24"/>
          <w:szCs w:val="24"/>
          <w:lang w:val="en-US"/>
        </w:rPr>
        <w:t>2</w:t>
      </w:r>
      <w:r w:rsidR="00585223">
        <w:rPr>
          <w:rFonts w:ascii="Times New Roman" w:hAnsi="Times New Roman"/>
          <w:b w:val="0"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 w:val="0"/>
          <w:color w:val="000000"/>
          <w:sz w:val="24"/>
          <w:szCs w:val="24"/>
          <w:lang w:val="en-US"/>
        </w:rPr>
        <w:t>Table</w:t>
      </w:r>
      <w:r w:rsidR="00585223">
        <w:rPr>
          <w:rFonts w:ascii="Times New Roman" w:hAnsi="Times New Roman"/>
          <w:b w:val="0"/>
          <w:color w:val="000000"/>
          <w:sz w:val="24"/>
          <w:szCs w:val="24"/>
          <w:lang w:val="en-US"/>
        </w:rPr>
        <w:t xml:space="preserve"> with the </w:t>
      </w:r>
      <w:r w:rsidR="00585223">
        <w:rPr>
          <w:rFonts w:ascii="Times New Roman" w:hAnsi="Times New Roman"/>
          <w:b w:val="0"/>
          <w:noProof/>
          <w:color w:val="000000"/>
          <w:sz w:val="24"/>
          <w:szCs w:val="24"/>
          <w:lang w:val="en-US"/>
        </w:rPr>
        <w:t>t</w:t>
      </w:r>
      <w:r w:rsidRPr="00776236">
        <w:rPr>
          <w:rFonts w:ascii="Times New Roman" w:hAnsi="Times New Roman"/>
          <w:b w:val="0"/>
          <w:noProof/>
          <w:color w:val="000000"/>
          <w:sz w:val="24"/>
          <w:szCs w:val="24"/>
          <w:lang w:val="en-US"/>
        </w:rPr>
        <w:t>otal number of AEs by MEDdra SOC for retrospective and</w:t>
      </w:r>
      <w:r w:rsidRPr="002F16C5">
        <w:rPr>
          <w:rFonts w:ascii="Times New Roman" w:hAnsi="Times New Roman"/>
          <w:b w:val="0"/>
          <w:noProof/>
          <w:color w:val="000000"/>
          <w:sz w:val="24"/>
          <w:szCs w:val="24"/>
          <w:lang w:val="en-US"/>
        </w:rPr>
        <w:t xml:space="preserve"> prospective visits in the Pharmachild registry</w:t>
      </w:r>
      <w:r w:rsidRPr="002F16C5">
        <w:rPr>
          <w:rFonts w:ascii="Times New Roman" w:hAnsi="Times New Roman"/>
          <w:b w:val="0"/>
          <w:color w:val="000000"/>
          <w:sz w:val="24"/>
          <w:szCs w:val="24"/>
          <w:lang w:val="en-US"/>
        </w:rPr>
        <w:t>. Data are absolute numbers and frequencies (</w:t>
      </w:r>
      <w:proofErr w:type="gramStart"/>
      <w:r w:rsidRPr="002F16C5">
        <w:rPr>
          <w:rFonts w:ascii="Times New Roman" w:hAnsi="Times New Roman"/>
          <w:b w:val="0"/>
          <w:color w:val="000000"/>
          <w:sz w:val="24"/>
          <w:szCs w:val="24"/>
          <w:lang w:val="en-US"/>
        </w:rPr>
        <w:t>%</w:t>
      </w:r>
      <w:proofErr w:type="gramEnd"/>
      <w:r w:rsidRPr="002F16C5">
        <w:rPr>
          <w:rFonts w:ascii="Times New Roman" w:hAnsi="Times New Roman"/>
          <w:b w:val="0"/>
          <w:color w:val="000000"/>
          <w:sz w:val="24"/>
          <w:szCs w:val="24"/>
          <w:lang w:val="en-US"/>
        </w:rPr>
        <w:t>)</w:t>
      </w:r>
      <w:r>
        <w:rPr>
          <w:rFonts w:ascii="Times New Roman" w:hAnsi="Times New Roman"/>
          <w:b w:val="0"/>
          <w:color w:val="000000"/>
          <w:sz w:val="24"/>
          <w:szCs w:val="24"/>
          <w:lang w:val="en-US"/>
        </w:rPr>
        <w:t xml:space="preserve"> of AEs</w:t>
      </w:r>
      <w:r w:rsidRPr="002F16C5">
        <w:rPr>
          <w:rFonts w:ascii="Times New Roman" w:hAnsi="Times New Roman"/>
          <w:b w:val="0"/>
          <w:color w:val="000000"/>
          <w:sz w:val="24"/>
          <w:szCs w:val="24"/>
          <w:lang w:val="en-US"/>
        </w:rPr>
        <w:t xml:space="preserve">. SOC are </w:t>
      </w:r>
      <w:r w:rsidRPr="002F16C5">
        <w:rPr>
          <w:rFonts w:ascii="Times New Roman" w:hAnsi="Times New Roman"/>
          <w:b w:val="0"/>
          <w:noProof/>
          <w:color w:val="000000"/>
          <w:sz w:val="24"/>
          <w:szCs w:val="24"/>
          <w:lang w:val="en-US"/>
        </w:rPr>
        <w:t>ordered by decreasing frequencies for retrospective</w:t>
      </w:r>
      <w:r w:rsidRPr="002F16C5">
        <w:rPr>
          <w:rFonts w:ascii="Times New Roman" w:hAnsi="Times New Roman"/>
          <w:b w:val="0"/>
          <w:color w:val="000000"/>
          <w:sz w:val="24"/>
          <w:szCs w:val="24"/>
          <w:lang w:val="en-US"/>
        </w:rPr>
        <w:t>AEs.</w:t>
      </w:r>
    </w:p>
    <w:p w14:paraId="60558248" w14:textId="77777777" w:rsidR="00BA448B" w:rsidRPr="002E4CA1" w:rsidRDefault="00BA448B" w:rsidP="002E4CA1">
      <w:pPr>
        <w:pStyle w:val="Header"/>
        <w:tabs>
          <w:tab w:val="clear" w:pos="4819"/>
          <w:tab w:val="clear" w:pos="9638"/>
        </w:tabs>
        <w:spacing w:after="160" w:line="259" w:lineRule="auto"/>
        <w:rPr>
          <w:lang w:val="en-US"/>
        </w:rPr>
      </w:pPr>
    </w:p>
    <w:tbl>
      <w:tblPr>
        <w:tblStyle w:val="TableGrid"/>
        <w:tblW w:w="7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1510"/>
        <w:gridCol w:w="1489"/>
      </w:tblGrid>
      <w:tr w:rsidR="00BA448B" w:rsidRPr="00BD1327" w14:paraId="07567189" w14:textId="77777777" w:rsidTr="00BA448B">
        <w:trPr>
          <w:trHeight w:val="268"/>
        </w:trPr>
        <w:tc>
          <w:tcPr>
            <w:tcW w:w="49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E6B6D9" w14:textId="77777777" w:rsidR="00BA448B" w:rsidRPr="00BD1327" w:rsidRDefault="00BA448B" w:rsidP="00BB53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Adverse events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01521D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1327">
              <w:rPr>
                <w:rFonts w:ascii="Times New Roman" w:hAnsi="Times New Roman" w:cs="Times New Roman"/>
                <w:b/>
                <w:color w:val="000000"/>
              </w:rPr>
              <w:t>Retrospective</w:t>
            </w:r>
          </w:p>
          <w:p w14:paraId="4BB7ED9D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1327">
              <w:rPr>
                <w:rFonts w:ascii="Times New Roman" w:hAnsi="Times New Roman" w:cs="Times New Roman"/>
                <w:b/>
                <w:color w:val="000000"/>
              </w:rPr>
              <w:t>N=</w:t>
            </w:r>
            <w:r>
              <w:rPr>
                <w:rFonts w:ascii="Times New Roman" w:hAnsi="Times New Roman" w:cs="Times New Roman"/>
                <w:b/>
                <w:color w:val="000000"/>
              </w:rPr>
              <w:t>4123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6A237A06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1327">
              <w:rPr>
                <w:rFonts w:ascii="Times New Roman" w:hAnsi="Times New Roman" w:cs="Times New Roman"/>
                <w:b/>
                <w:color w:val="000000"/>
              </w:rPr>
              <w:t>Prospective</w:t>
            </w:r>
          </w:p>
          <w:p w14:paraId="6E0D17C9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1327">
              <w:rPr>
                <w:rFonts w:ascii="Times New Roman" w:hAnsi="Times New Roman" w:cs="Times New Roman"/>
                <w:b/>
                <w:color w:val="000000"/>
              </w:rPr>
              <w:t>N=1</w:t>
            </w:r>
            <w:r>
              <w:rPr>
                <w:rFonts w:ascii="Times New Roman" w:hAnsi="Times New Roman" w:cs="Times New Roman"/>
                <w:b/>
                <w:color w:val="000000"/>
              </w:rPr>
              <w:t>050</w:t>
            </w:r>
          </w:p>
        </w:tc>
      </w:tr>
      <w:tr w:rsidR="00BA448B" w:rsidRPr="00BD1327" w14:paraId="2725BFA2" w14:textId="77777777" w:rsidTr="00BA448B">
        <w:trPr>
          <w:trHeight w:val="268"/>
        </w:trPr>
        <w:tc>
          <w:tcPr>
            <w:tcW w:w="4994" w:type="dxa"/>
            <w:tcBorders>
              <w:top w:val="single" w:sz="4" w:space="0" w:color="auto"/>
            </w:tcBorders>
            <w:noWrap/>
            <w:hideMark/>
          </w:tcPr>
          <w:p w14:paraId="1A4E3D75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Infections and infestations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46987D2E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1137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(27.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63073915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386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36.8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285C0664" w14:textId="77777777" w:rsidTr="00BA448B">
        <w:trPr>
          <w:trHeight w:val="268"/>
        </w:trPr>
        <w:tc>
          <w:tcPr>
            <w:tcW w:w="4994" w:type="dxa"/>
            <w:noWrap/>
            <w:hideMark/>
          </w:tcPr>
          <w:p w14:paraId="6E357DFE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Gastrointestinal disorders</w:t>
            </w:r>
          </w:p>
        </w:tc>
        <w:tc>
          <w:tcPr>
            <w:tcW w:w="0" w:type="auto"/>
          </w:tcPr>
          <w:p w14:paraId="152F78CE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32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BD1327">
              <w:rPr>
                <w:rFonts w:ascii="Times New Roman" w:hAnsi="Times New Roman" w:cs="Times New Roman"/>
                <w:color w:val="000000"/>
              </w:rPr>
              <w:t>9 (11.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593A304E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32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D1327">
              <w:rPr>
                <w:rFonts w:ascii="Times New Roman" w:hAnsi="Times New Roman" w:cs="Times New Roman"/>
                <w:color w:val="000000"/>
              </w:rPr>
              <w:t>6 (10.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619CC995" w14:textId="77777777" w:rsidTr="00BA448B">
        <w:trPr>
          <w:trHeight w:val="268"/>
        </w:trPr>
        <w:tc>
          <w:tcPr>
            <w:tcW w:w="4994" w:type="dxa"/>
            <w:noWrap/>
            <w:hideMark/>
          </w:tcPr>
          <w:p w14:paraId="6D6DECF0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Injury, poisoning and procedural complications</w:t>
            </w:r>
          </w:p>
        </w:tc>
        <w:tc>
          <w:tcPr>
            <w:tcW w:w="0" w:type="auto"/>
          </w:tcPr>
          <w:p w14:paraId="2D279F63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32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77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6.7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641A5787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(4</w:t>
            </w:r>
            <w:r>
              <w:rPr>
                <w:rFonts w:ascii="Times New Roman" w:hAnsi="Times New Roman" w:cs="Times New Roman"/>
                <w:color w:val="000000"/>
              </w:rPr>
              <w:t>.6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5AC463C5" w14:textId="77777777" w:rsidTr="00BA448B">
        <w:trPr>
          <w:trHeight w:val="268"/>
        </w:trPr>
        <w:tc>
          <w:tcPr>
            <w:tcW w:w="4994" w:type="dxa"/>
            <w:noWrap/>
          </w:tcPr>
          <w:p w14:paraId="56EE366A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Blood and lymphatic system disorders</w:t>
            </w:r>
          </w:p>
        </w:tc>
        <w:tc>
          <w:tcPr>
            <w:tcW w:w="0" w:type="auto"/>
          </w:tcPr>
          <w:p w14:paraId="0BAA5FD2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32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53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6.1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222AB091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3.6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2E05F637" w14:textId="77777777" w:rsidTr="00BA448B">
        <w:trPr>
          <w:trHeight w:val="268"/>
        </w:trPr>
        <w:tc>
          <w:tcPr>
            <w:tcW w:w="4994" w:type="dxa"/>
            <w:noWrap/>
            <w:hideMark/>
          </w:tcPr>
          <w:p w14:paraId="3B346624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Investigations</w:t>
            </w:r>
          </w:p>
        </w:tc>
        <w:tc>
          <w:tcPr>
            <w:tcW w:w="0" w:type="auto"/>
          </w:tcPr>
          <w:p w14:paraId="643F4A4B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245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5.9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6B120991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(3.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5159D632" w14:textId="77777777" w:rsidTr="00BA448B">
        <w:trPr>
          <w:trHeight w:val="268"/>
        </w:trPr>
        <w:tc>
          <w:tcPr>
            <w:tcW w:w="4994" w:type="dxa"/>
            <w:noWrap/>
            <w:hideMark/>
          </w:tcPr>
          <w:p w14:paraId="35C35D3E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Eye disorders</w:t>
            </w:r>
          </w:p>
        </w:tc>
        <w:tc>
          <w:tcPr>
            <w:tcW w:w="0" w:type="auto"/>
          </w:tcPr>
          <w:p w14:paraId="22DCF562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32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34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5.7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11BE6C9F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(3.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7344D698" w14:textId="77777777" w:rsidTr="00BA448B">
        <w:trPr>
          <w:trHeight w:val="268"/>
        </w:trPr>
        <w:tc>
          <w:tcPr>
            <w:tcW w:w="4994" w:type="dxa"/>
            <w:noWrap/>
          </w:tcPr>
          <w:p w14:paraId="7E7B0C1C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Hepatobiliary disorders</w:t>
            </w:r>
          </w:p>
        </w:tc>
        <w:tc>
          <w:tcPr>
            <w:tcW w:w="0" w:type="auto"/>
          </w:tcPr>
          <w:p w14:paraId="518C871B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(4.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1727F73E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3.2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2A511058" w14:textId="77777777" w:rsidTr="00BA448B">
        <w:trPr>
          <w:trHeight w:val="268"/>
        </w:trPr>
        <w:tc>
          <w:tcPr>
            <w:tcW w:w="4994" w:type="dxa"/>
            <w:noWrap/>
          </w:tcPr>
          <w:p w14:paraId="32E97397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Skin and subcutaneous tissue disorders</w:t>
            </w:r>
          </w:p>
        </w:tc>
        <w:tc>
          <w:tcPr>
            <w:tcW w:w="0" w:type="auto"/>
          </w:tcPr>
          <w:p w14:paraId="410430C3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(4.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58CF7890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(6.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4BC686B9" w14:textId="77777777" w:rsidTr="00BA448B">
        <w:trPr>
          <w:trHeight w:val="268"/>
        </w:trPr>
        <w:tc>
          <w:tcPr>
            <w:tcW w:w="4994" w:type="dxa"/>
            <w:noWrap/>
          </w:tcPr>
          <w:p w14:paraId="02ECC641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General disorders and administration site conditions</w:t>
            </w:r>
          </w:p>
        </w:tc>
        <w:tc>
          <w:tcPr>
            <w:tcW w:w="0" w:type="auto"/>
          </w:tcPr>
          <w:p w14:paraId="507E6DA0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177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(4.3%)</w:t>
            </w:r>
          </w:p>
        </w:tc>
        <w:tc>
          <w:tcPr>
            <w:tcW w:w="0" w:type="auto"/>
          </w:tcPr>
          <w:p w14:paraId="1D406DF1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6.5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28FBE5BD" w14:textId="77777777" w:rsidTr="00BA448B">
        <w:trPr>
          <w:trHeight w:val="268"/>
        </w:trPr>
        <w:tc>
          <w:tcPr>
            <w:tcW w:w="4994" w:type="dxa"/>
            <w:noWrap/>
          </w:tcPr>
          <w:p w14:paraId="1A2B4EB0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Surgical and medical procedures</w:t>
            </w:r>
          </w:p>
        </w:tc>
        <w:tc>
          <w:tcPr>
            <w:tcW w:w="0" w:type="auto"/>
          </w:tcPr>
          <w:p w14:paraId="0A76637F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167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(4.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7AD3C365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4.0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2E4CC7CD" w14:textId="77777777" w:rsidTr="00BA448B">
        <w:trPr>
          <w:trHeight w:val="268"/>
        </w:trPr>
        <w:tc>
          <w:tcPr>
            <w:tcW w:w="4994" w:type="dxa"/>
            <w:noWrap/>
          </w:tcPr>
          <w:p w14:paraId="62A95ACD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Nervous system disorders</w:t>
            </w:r>
          </w:p>
        </w:tc>
        <w:tc>
          <w:tcPr>
            <w:tcW w:w="0" w:type="auto"/>
          </w:tcPr>
          <w:p w14:paraId="160D4DD5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(2.8%)</w:t>
            </w:r>
          </w:p>
        </w:tc>
        <w:tc>
          <w:tcPr>
            <w:tcW w:w="0" w:type="auto"/>
          </w:tcPr>
          <w:p w14:paraId="176F9250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(3.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677B07BF" w14:textId="77777777" w:rsidTr="00BA448B">
        <w:trPr>
          <w:trHeight w:val="268"/>
        </w:trPr>
        <w:tc>
          <w:tcPr>
            <w:tcW w:w="4994" w:type="dxa"/>
            <w:noWrap/>
          </w:tcPr>
          <w:p w14:paraId="5299DAEA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Musculoskeletal and connective tissue disorders</w:t>
            </w:r>
          </w:p>
        </w:tc>
        <w:tc>
          <w:tcPr>
            <w:tcW w:w="0" w:type="auto"/>
          </w:tcPr>
          <w:p w14:paraId="73701BDF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114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 xml:space="preserve"> (2.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>%)</w:t>
            </w:r>
          </w:p>
        </w:tc>
        <w:tc>
          <w:tcPr>
            <w:tcW w:w="0" w:type="auto"/>
          </w:tcPr>
          <w:p w14:paraId="2EEA2430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(3.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38891EBF" w14:textId="77777777" w:rsidTr="00BA448B">
        <w:trPr>
          <w:trHeight w:val="268"/>
        </w:trPr>
        <w:tc>
          <w:tcPr>
            <w:tcW w:w="4994" w:type="dxa"/>
            <w:noWrap/>
          </w:tcPr>
          <w:p w14:paraId="75E52112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Endocrine disorders</w:t>
            </w:r>
          </w:p>
        </w:tc>
        <w:tc>
          <w:tcPr>
            <w:tcW w:w="0" w:type="auto"/>
          </w:tcPr>
          <w:p w14:paraId="7232A4F3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 xml:space="preserve"> (2.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>%)</w:t>
            </w:r>
          </w:p>
        </w:tc>
        <w:tc>
          <w:tcPr>
            <w:tcW w:w="0" w:type="auto"/>
          </w:tcPr>
          <w:p w14:paraId="1BEEF065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 xml:space="preserve"> (0.9%)</w:t>
            </w:r>
          </w:p>
        </w:tc>
      </w:tr>
      <w:tr w:rsidR="00BA448B" w:rsidRPr="00BD1327" w14:paraId="4AA475B4" w14:textId="77777777" w:rsidTr="00BA448B">
        <w:trPr>
          <w:trHeight w:val="268"/>
        </w:trPr>
        <w:tc>
          <w:tcPr>
            <w:tcW w:w="4994" w:type="dxa"/>
            <w:noWrap/>
          </w:tcPr>
          <w:p w14:paraId="7F6D46DF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Psychiatric disorders</w:t>
            </w:r>
          </w:p>
        </w:tc>
        <w:tc>
          <w:tcPr>
            <w:tcW w:w="0" w:type="auto"/>
          </w:tcPr>
          <w:p w14:paraId="1E44CFC7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85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 xml:space="preserve"> (2.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>%)</w:t>
            </w:r>
          </w:p>
        </w:tc>
        <w:tc>
          <w:tcPr>
            <w:tcW w:w="0" w:type="auto"/>
          </w:tcPr>
          <w:p w14:paraId="50E3B506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1.9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BA448B" w:rsidRPr="00BD1327" w14:paraId="72CB9E0F" w14:textId="77777777" w:rsidTr="00BA448B">
        <w:trPr>
          <w:trHeight w:val="268"/>
        </w:trPr>
        <w:tc>
          <w:tcPr>
            <w:tcW w:w="4994" w:type="dxa"/>
            <w:noWrap/>
          </w:tcPr>
          <w:p w14:paraId="22446205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Respiratory, thoracic and mediastinal disorders</w:t>
            </w:r>
          </w:p>
        </w:tc>
        <w:tc>
          <w:tcPr>
            <w:tcW w:w="0" w:type="auto"/>
          </w:tcPr>
          <w:p w14:paraId="3471154F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76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714B5A14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36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3.4</w:t>
            </w:r>
            <w:r w:rsidRPr="00BD1327">
              <w:rPr>
                <w:rFonts w:ascii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BA448B" w:rsidRPr="00BD1327" w14:paraId="3193FEFD" w14:textId="77777777" w:rsidTr="00BA448B">
        <w:trPr>
          <w:trHeight w:val="268"/>
        </w:trPr>
        <w:tc>
          <w:tcPr>
            <w:tcW w:w="4994" w:type="dxa"/>
            <w:noWrap/>
          </w:tcPr>
          <w:p w14:paraId="087B9BC4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Metabolism and nutrition disorders</w:t>
            </w:r>
          </w:p>
        </w:tc>
        <w:tc>
          <w:tcPr>
            <w:tcW w:w="0" w:type="auto"/>
          </w:tcPr>
          <w:p w14:paraId="09135A7D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46832E4C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BD1327">
              <w:rPr>
                <w:rFonts w:ascii="Times New Roman" w:hAnsi="Times New Roman" w:cs="Times New Roman"/>
                <w:color w:val="000000"/>
              </w:rPr>
              <w:t>5 (1.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0DB2E36A" w14:textId="77777777" w:rsidTr="00BA448B">
        <w:trPr>
          <w:trHeight w:val="268"/>
        </w:trPr>
        <w:tc>
          <w:tcPr>
            <w:tcW w:w="4994" w:type="dxa"/>
            <w:noWrap/>
          </w:tcPr>
          <w:p w14:paraId="15AA0089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Renal and urinary disorders</w:t>
            </w:r>
          </w:p>
        </w:tc>
        <w:tc>
          <w:tcPr>
            <w:tcW w:w="0" w:type="auto"/>
          </w:tcPr>
          <w:p w14:paraId="35E34C54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6BF41412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2CA974D2" w14:textId="77777777" w:rsidTr="00BA448B">
        <w:trPr>
          <w:trHeight w:val="268"/>
        </w:trPr>
        <w:tc>
          <w:tcPr>
            <w:tcW w:w="4994" w:type="dxa"/>
            <w:noWrap/>
          </w:tcPr>
          <w:p w14:paraId="22CB0A23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Immune system disorders</w:t>
            </w:r>
          </w:p>
        </w:tc>
        <w:tc>
          <w:tcPr>
            <w:tcW w:w="0" w:type="auto"/>
          </w:tcPr>
          <w:p w14:paraId="6250B622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(0.7%)</w:t>
            </w:r>
          </w:p>
        </w:tc>
        <w:tc>
          <w:tcPr>
            <w:tcW w:w="0" w:type="auto"/>
          </w:tcPr>
          <w:p w14:paraId="4D6812E3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13465701" w14:textId="77777777" w:rsidTr="00BA448B">
        <w:trPr>
          <w:trHeight w:val="268"/>
        </w:trPr>
        <w:tc>
          <w:tcPr>
            <w:tcW w:w="4994" w:type="dxa"/>
            <w:noWrap/>
          </w:tcPr>
          <w:p w14:paraId="7BF35468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Vascular disorders</w:t>
            </w:r>
          </w:p>
        </w:tc>
        <w:tc>
          <w:tcPr>
            <w:tcW w:w="0" w:type="auto"/>
          </w:tcPr>
          <w:p w14:paraId="40FA1BDB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32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560B86FC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0E4F15B8" w14:textId="77777777" w:rsidTr="00BA448B">
        <w:trPr>
          <w:trHeight w:val="268"/>
        </w:trPr>
        <w:tc>
          <w:tcPr>
            <w:tcW w:w="4994" w:type="dxa"/>
            <w:noWrap/>
          </w:tcPr>
          <w:p w14:paraId="0C847298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Reproductive system and breast disorders</w:t>
            </w:r>
          </w:p>
        </w:tc>
        <w:tc>
          <w:tcPr>
            <w:tcW w:w="0" w:type="auto"/>
          </w:tcPr>
          <w:p w14:paraId="502CF1A8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673F9BF6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0.7%</w:t>
            </w:r>
            <w:r w:rsidRPr="00BD132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A448B" w:rsidRPr="00BD1327" w14:paraId="4F85D859" w14:textId="77777777" w:rsidTr="00BA448B">
        <w:trPr>
          <w:trHeight w:val="268"/>
        </w:trPr>
        <w:tc>
          <w:tcPr>
            <w:tcW w:w="4994" w:type="dxa"/>
            <w:noWrap/>
          </w:tcPr>
          <w:p w14:paraId="0B00F629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Cardiac disorders</w:t>
            </w:r>
          </w:p>
        </w:tc>
        <w:tc>
          <w:tcPr>
            <w:tcW w:w="0" w:type="auto"/>
          </w:tcPr>
          <w:p w14:paraId="3EF02CDB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32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(0.4%)</w:t>
            </w:r>
          </w:p>
        </w:tc>
        <w:tc>
          <w:tcPr>
            <w:tcW w:w="0" w:type="auto"/>
          </w:tcPr>
          <w:p w14:paraId="1EF59C9C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(0.2%)</w:t>
            </w:r>
          </w:p>
        </w:tc>
      </w:tr>
      <w:tr w:rsidR="00BA448B" w:rsidRPr="00BD1327" w14:paraId="618533E8" w14:textId="77777777" w:rsidTr="00BA448B">
        <w:trPr>
          <w:trHeight w:val="268"/>
        </w:trPr>
        <w:tc>
          <w:tcPr>
            <w:tcW w:w="4994" w:type="dxa"/>
            <w:noWrap/>
          </w:tcPr>
          <w:p w14:paraId="5CC9B9B4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Congenital, familial and genetic disorders</w:t>
            </w:r>
          </w:p>
        </w:tc>
        <w:tc>
          <w:tcPr>
            <w:tcW w:w="0" w:type="auto"/>
          </w:tcPr>
          <w:p w14:paraId="41E61365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32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(0.4%)</w:t>
            </w:r>
          </w:p>
        </w:tc>
        <w:tc>
          <w:tcPr>
            <w:tcW w:w="0" w:type="auto"/>
          </w:tcPr>
          <w:p w14:paraId="3282DDD6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6FB49D05" w14:textId="77777777" w:rsidTr="00BA448B">
        <w:trPr>
          <w:trHeight w:val="268"/>
        </w:trPr>
        <w:tc>
          <w:tcPr>
            <w:tcW w:w="4994" w:type="dxa"/>
            <w:noWrap/>
          </w:tcPr>
          <w:p w14:paraId="4E252AF7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Ear and labyrinth disorders</w:t>
            </w:r>
          </w:p>
        </w:tc>
        <w:tc>
          <w:tcPr>
            <w:tcW w:w="0" w:type="auto"/>
          </w:tcPr>
          <w:p w14:paraId="02EE1DDA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32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(0.3%)</w:t>
            </w:r>
          </w:p>
        </w:tc>
        <w:tc>
          <w:tcPr>
            <w:tcW w:w="0" w:type="auto"/>
          </w:tcPr>
          <w:p w14:paraId="03FBD8B0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76076A1D" w14:textId="77777777" w:rsidTr="00BA448B">
        <w:trPr>
          <w:trHeight w:val="268"/>
        </w:trPr>
        <w:tc>
          <w:tcPr>
            <w:tcW w:w="4994" w:type="dxa"/>
            <w:noWrap/>
          </w:tcPr>
          <w:p w14:paraId="7EF8CBC7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Neoplasms benign, malignant and unspecified (</w:t>
            </w:r>
            <w:proofErr w:type="spellStart"/>
            <w:r w:rsidRPr="00BD1327">
              <w:rPr>
                <w:rFonts w:ascii="Times New Roman" w:hAnsi="Times New Roman" w:cs="Times New Roman"/>
                <w:lang w:val="en-US"/>
              </w:rPr>
              <w:t>incl</w:t>
            </w:r>
            <w:proofErr w:type="spellEnd"/>
            <w:r w:rsidRPr="00BD1327">
              <w:rPr>
                <w:rFonts w:ascii="Times New Roman" w:hAnsi="Times New Roman" w:cs="Times New Roman"/>
                <w:lang w:val="en-US"/>
              </w:rPr>
              <w:t xml:space="preserve"> cysts and polyps)</w:t>
            </w:r>
          </w:p>
        </w:tc>
        <w:tc>
          <w:tcPr>
            <w:tcW w:w="0" w:type="auto"/>
          </w:tcPr>
          <w:p w14:paraId="29AE95D8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0" w:type="auto"/>
          </w:tcPr>
          <w:p w14:paraId="29B73F62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BA448B" w:rsidRPr="00BD1327" w14:paraId="7871A367" w14:textId="77777777" w:rsidTr="00BA448B">
        <w:trPr>
          <w:trHeight w:val="268"/>
        </w:trPr>
        <w:tc>
          <w:tcPr>
            <w:tcW w:w="4994" w:type="dxa"/>
            <w:noWrap/>
          </w:tcPr>
          <w:p w14:paraId="157EE0BC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BD1327">
              <w:rPr>
                <w:rFonts w:ascii="Times New Roman" w:hAnsi="Times New Roman" w:cs="Times New Roman"/>
                <w:lang w:val="en-US"/>
              </w:rPr>
              <w:t>Pregnancy, puerperium and perinatal conditions</w:t>
            </w:r>
          </w:p>
        </w:tc>
        <w:tc>
          <w:tcPr>
            <w:tcW w:w="0" w:type="auto"/>
          </w:tcPr>
          <w:p w14:paraId="3F804C10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(0.2%)</w:t>
            </w:r>
          </w:p>
        </w:tc>
        <w:tc>
          <w:tcPr>
            <w:tcW w:w="0" w:type="auto"/>
          </w:tcPr>
          <w:p w14:paraId="37F2CB65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A448B" w:rsidRPr="00BD1327" w14:paraId="56533BE9" w14:textId="77777777" w:rsidTr="00BA448B">
        <w:trPr>
          <w:trHeight w:val="268"/>
        </w:trPr>
        <w:tc>
          <w:tcPr>
            <w:tcW w:w="4994" w:type="dxa"/>
            <w:tcBorders>
              <w:bottom w:val="single" w:sz="4" w:space="0" w:color="auto"/>
            </w:tcBorders>
            <w:noWrap/>
          </w:tcPr>
          <w:p w14:paraId="3A968BB9" w14:textId="77777777" w:rsidR="00BA448B" w:rsidRPr="00BD1327" w:rsidRDefault="00BA448B" w:rsidP="00BB5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D1327">
              <w:rPr>
                <w:rFonts w:ascii="Times New Roman" w:hAnsi="Times New Roman" w:cs="Times New Roman"/>
              </w:rPr>
              <w:t>Social circumstances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7B01DD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0343F7" w14:textId="77777777" w:rsidR="00BA448B" w:rsidRPr="00BD1327" w:rsidRDefault="00BA448B" w:rsidP="00BB5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BD1327">
              <w:rPr>
                <w:rFonts w:ascii="Times New Roman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BD132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</w:tbl>
    <w:p w14:paraId="6F443C6E" w14:textId="77777777" w:rsidR="00917AEE" w:rsidRDefault="00F775F0" w:rsidP="002E4CA1">
      <w:bookmarkStart w:id="0" w:name="_GoBack"/>
      <w:bookmarkEnd w:id="0"/>
    </w:p>
    <w:sectPr w:rsidR="00917AEE" w:rsidSect="002E4CA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22B59" w14:textId="77777777" w:rsidR="00BA448B" w:rsidRDefault="00BA448B" w:rsidP="00BA448B">
      <w:pPr>
        <w:spacing w:after="0" w:line="240" w:lineRule="auto"/>
      </w:pPr>
      <w:r>
        <w:separator/>
      </w:r>
    </w:p>
  </w:endnote>
  <w:endnote w:type="continuationSeparator" w:id="0">
    <w:p w14:paraId="7471CF62" w14:textId="77777777" w:rsidR="00BA448B" w:rsidRDefault="00BA448B" w:rsidP="00BA4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07513" w14:textId="77777777" w:rsidR="00BA448B" w:rsidRDefault="00BA448B" w:rsidP="00BA448B">
      <w:pPr>
        <w:spacing w:after="0" w:line="240" w:lineRule="auto"/>
      </w:pPr>
      <w:r>
        <w:separator/>
      </w:r>
    </w:p>
  </w:footnote>
  <w:footnote w:type="continuationSeparator" w:id="0">
    <w:p w14:paraId="2E83ADDF" w14:textId="77777777" w:rsidR="00BA448B" w:rsidRDefault="00BA448B" w:rsidP="00BA4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D619BF"/>
    <w:rsid w:val="00015434"/>
    <w:rsid w:val="00137F59"/>
    <w:rsid w:val="002576F5"/>
    <w:rsid w:val="00291442"/>
    <w:rsid w:val="002E4CA1"/>
    <w:rsid w:val="003C6456"/>
    <w:rsid w:val="00585223"/>
    <w:rsid w:val="006034CC"/>
    <w:rsid w:val="00704BA3"/>
    <w:rsid w:val="00825C31"/>
    <w:rsid w:val="009B616F"/>
    <w:rsid w:val="00A73D21"/>
    <w:rsid w:val="00A901DF"/>
    <w:rsid w:val="00A90396"/>
    <w:rsid w:val="00AE0F34"/>
    <w:rsid w:val="00BA448B"/>
    <w:rsid w:val="00BA676D"/>
    <w:rsid w:val="00C2352F"/>
    <w:rsid w:val="00CD52BE"/>
    <w:rsid w:val="00D619BF"/>
    <w:rsid w:val="00DB0BD1"/>
    <w:rsid w:val="00DB1E26"/>
    <w:rsid w:val="00E00822"/>
    <w:rsid w:val="00E47C35"/>
    <w:rsid w:val="00E56B1C"/>
    <w:rsid w:val="00ED4D19"/>
    <w:rsid w:val="00F775F0"/>
    <w:rsid w:val="00FB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4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3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D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D21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A448B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44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48B"/>
  </w:style>
  <w:style w:type="paragraph" w:styleId="Footer">
    <w:name w:val="footer"/>
    <w:basedOn w:val="Normal"/>
    <w:link w:val="FooterChar"/>
    <w:uiPriority w:val="99"/>
    <w:unhideWhenUsed/>
    <w:rsid w:val="00BA44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48B"/>
  </w:style>
  <w:style w:type="paragraph" w:styleId="Revision">
    <w:name w:val="Revision"/>
    <w:hidden/>
    <w:uiPriority w:val="99"/>
    <w:semiHidden/>
    <w:rsid w:val="005852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3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D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D21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A448B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44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48B"/>
  </w:style>
  <w:style w:type="paragraph" w:styleId="Footer">
    <w:name w:val="footer"/>
    <w:basedOn w:val="Normal"/>
    <w:link w:val="FooterChar"/>
    <w:uiPriority w:val="99"/>
    <w:unhideWhenUsed/>
    <w:rsid w:val="00BA44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48B"/>
  </w:style>
  <w:style w:type="paragraph" w:styleId="Revision">
    <w:name w:val="Revision"/>
    <w:hidden/>
    <w:uiPriority w:val="99"/>
    <w:semiHidden/>
    <w:rsid w:val="005852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636BB-E211-4209-B0AB-BBA83F2F1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1462</Characters>
  <Application>Microsoft Office Word</Application>
  <DocSecurity>0</DocSecurity>
  <Lines>91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Bagnasco Francesca</dc:creator>
  <cp:keywords/>
  <dc:description/>
  <cp:lastModifiedBy>S3G_Apply_Fixed_Case</cp:lastModifiedBy>
  <cp:revision>11</cp:revision>
  <dcterms:created xsi:type="dcterms:W3CDTF">2018-09-12T10:41:00Z</dcterms:created>
  <dcterms:modified xsi:type="dcterms:W3CDTF">2018-12-13T15:55:00Z</dcterms:modified>
</cp:coreProperties>
</file>