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Times New Roman" w:eastAsiaTheme="minorEastAsia" w:hAnsi="Times New Roman" w:cs="Times New Roman"/>
          <w:b/>
          <w:sz w:val="24"/>
          <w:szCs w:val="24"/>
          <w:lang w:eastAsia="zh-TW"/>
        </w:rPr>
      </w:pPr>
      <w:bookmarkStart w:id="0" w:name="_GoBack"/>
      <w:bookmarkEnd w:id="0"/>
      <w:r>
        <w:rPr>
          <w:rFonts w:ascii="Times New Roman" w:eastAsiaTheme="minorEastAsia" w:hAnsi="Times New Roman" w:cs="Times New Roman"/>
          <w:b/>
          <w:sz w:val="24"/>
          <w:szCs w:val="24"/>
          <w:lang w:eastAsia="zh-TW"/>
        </w:rPr>
        <w:t>SUPPLEMENTARY DATA</w:t>
      </w:r>
    </w:p>
    <w:p>
      <w:pPr>
        <w:rPr>
          <w:rFonts w:ascii="Times New Roman" w:eastAsiaTheme="minorEastAsia" w:hAnsi="Times New Roman" w:cs="Times New Roman"/>
          <w:b/>
          <w:sz w:val="24"/>
          <w:szCs w:val="24"/>
          <w:lang w:eastAsia="zh-TW"/>
        </w:rPr>
      </w:pPr>
    </w:p>
    <w:p>
      <w:pPr>
        <w:pStyle w:val="Head3Wouter"/>
        <w:spacing w:before="0" w:line="480" w:lineRule="auto"/>
        <w:rPr>
          <w:rFonts w:cs="Times New Roman"/>
          <w:lang w:val="en-GB"/>
        </w:rPr>
      </w:pPr>
      <w:r>
        <w:rPr>
          <w:rFonts w:cs="Times New Roman"/>
          <w:lang w:val="en-GB"/>
        </w:rPr>
        <w:t>TABLES</w:t>
      </w:r>
    </w:p>
    <w:p>
      <w:pPr>
        <w:pStyle w:val="Head3Wouter"/>
        <w:spacing w:before="0" w:line="480" w:lineRule="auto"/>
        <w:rPr>
          <w:rFonts w:cs="Times New Roman"/>
          <w:lang w:val="en-GB"/>
        </w:rPr>
      </w:pPr>
    </w:p>
    <w:p>
      <w:pPr>
        <w:pStyle w:val="Head3Wouter"/>
        <w:spacing w:before="0" w:line="480" w:lineRule="auto"/>
        <w:rPr>
          <w:rFonts w:cs="Times New Roman"/>
          <w:lang w:val="en-GB"/>
        </w:rPr>
      </w:pPr>
      <w:bookmarkStart w:id="1" w:name="_Hlk519070113"/>
      <w:r>
        <w:rPr>
          <w:rFonts w:cs="Times New Roman"/>
          <w:lang w:val="en-GB"/>
        </w:rPr>
        <w:t xml:space="preserve">Table S1. </w:t>
      </w:r>
      <w:r>
        <w:rPr>
          <w:rFonts w:cs="Times New Roman"/>
          <w:b w:val="0"/>
          <w:lang w:val="en-GB"/>
        </w:rPr>
        <w:t>Different Grey-scale ultrasound scoring methods.</w:t>
      </w:r>
    </w:p>
    <w:tbl>
      <w:tblPr>
        <w:tblW w:w="5000" w:type="pct"/>
        <w:tblLayout w:type="fixed"/>
        <w:tblCellMar>
          <w:left w:w="70" w:type="dxa"/>
          <w:right w:w="70" w:type="dxa"/>
        </w:tblCellMar>
        <w:tblLook w:val="00A0" w:firstRow="1" w:lastRow="0" w:firstColumn="1" w:lastColumn="0" w:noHBand="0" w:noVBand="0"/>
      </w:tblPr>
      <w:tblGrid>
        <w:gridCol w:w="913"/>
        <w:gridCol w:w="1529"/>
        <w:gridCol w:w="2094"/>
        <w:gridCol w:w="2233"/>
        <w:gridCol w:w="2257"/>
      </w:tblGrid>
      <w:tr>
        <w:trPr>
          <w:trHeight w:val="594"/>
        </w:trPr>
        <w:tc>
          <w:tcPr>
            <w:tcW w:w="506" w:type="pct"/>
            <w:tcBorders>
              <w:top w:val="single" w:sz="18" w:space="0" w:color="auto"/>
              <w:left w:val="nil"/>
              <w:bottom w:val="single" w:sz="4" w:space="0" w:color="auto"/>
              <w:right w:val="nil"/>
            </w:tcBorders>
          </w:tcPr>
          <w:p>
            <w:pPr>
              <w:spacing w:line="240" w:lineRule="auto"/>
              <w:rPr>
                <w:rFonts w:ascii="Times New Roman" w:hAnsi="Times New Roman" w:cs="Times New Roman"/>
                <w:b/>
                <w:sz w:val="24"/>
                <w:szCs w:val="24"/>
              </w:rPr>
            </w:pPr>
            <w:bookmarkStart w:id="2" w:name="_Hlk519070096"/>
          </w:p>
        </w:tc>
        <w:tc>
          <w:tcPr>
            <w:tcW w:w="847" w:type="pct"/>
            <w:tcBorders>
              <w:top w:val="single" w:sz="18" w:space="0" w:color="auto"/>
              <w:left w:val="nil"/>
              <w:bottom w:val="single" w:sz="4" w:space="0" w:color="auto"/>
              <w:right w:val="nil"/>
            </w:tcBorders>
            <w:noWrap/>
          </w:tcPr>
          <w:p>
            <w:pPr>
              <w:spacing w:line="240" w:lineRule="auto"/>
              <w:rPr>
                <w:rFonts w:ascii="Times New Roman" w:hAnsi="Times New Roman" w:cs="Times New Roman"/>
                <w:b/>
                <w:sz w:val="24"/>
                <w:szCs w:val="24"/>
              </w:rPr>
            </w:pPr>
            <w:r>
              <w:rPr>
                <w:rFonts w:ascii="Times New Roman" w:hAnsi="Times New Roman" w:cs="Times New Roman"/>
                <w:b/>
                <w:sz w:val="24"/>
                <w:szCs w:val="24"/>
              </w:rPr>
              <w:t>GS score for joint effusion</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&lt;EndNote&gt;&lt;Cite&gt;&lt;Author&gt;Szkudlarek&lt;/Author&gt;&lt;Year&gt;2003&lt;/Year&gt;&lt;RecNum&gt;30&lt;/RecNum&gt;&lt;DisplayText&gt;&lt;style font="Times New Roman" size="12"&gt;[1]&lt;/style&gt;&lt;/DisplayText&gt;&lt;record&gt;&lt;rec-number&gt;30&lt;/rec-number&gt;&lt;foreign-keys&gt;&lt;key app="EN" db-id="xr2tfstsnew9zreadeuvp55jat9vztwx2pfx" timestamp="1530689623"&gt;30&lt;/key&gt;&lt;/foreign-keys&gt;&lt;ref-type name="Journal Article"&gt;17&lt;/ref-type&gt;&lt;contributors&gt;&lt;authors&gt;&lt;author&gt;Szkudlarek, M.&lt;/author&gt;&lt;author&gt;Court-Payen, M.&lt;/author&gt;&lt;author&gt;Jacobsen, S.&lt;/author&gt;&lt;author&gt;Klarlund, M.&lt;/author&gt;&lt;author&gt;Thomsen, H. S.&lt;/author&gt;&lt;author&gt;Ostergaard, M.&lt;/author&gt;&lt;/authors&gt;&lt;/contributors&gt;&lt;auth-address&gt;University of Copenhagen Hvidovre Hospital, Denmark. marcin@dadlnet.dk&lt;/auth-address&gt;&lt;titles&gt;&lt;title&gt;Interobserver agreement in ultrasonography of the finger and toe joints in rheumatoid arthritis&lt;/title&gt;&lt;secondary-title&gt;Arthritis Rheum&lt;/secondary-title&gt;&lt;/titles&gt;&lt;periodical&gt;&lt;full-title&gt;Arthritis Rheum&lt;/full-title&gt;&lt;/periodical&gt;&lt;pages&gt;955-62&lt;/pages&gt;&lt;volume&gt;48&lt;/volume&gt;&lt;number&gt;4&lt;/number&gt;&lt;keywords&gt;&lt;keyword&gt;Adult&lt;/keyword&gt;&lt;keyword&gt;Aged&lt;/keyword&gt;&lt;keyword&gt;Arthritis, Rheumatoid/*diagnostic imaging&lt;/keyword&gt;&lt;keyword&gt;Female&lt;/keyword&gt;&lt;keyword&gt;Finger Joint/*diagnostic imaging&lt;/keyword&gt;&lt;keyword&gt;Humans&lt;/keyword&gt;&lt;keyword&gt;Male&lt;/keyword&gt;&lt;keyword&gt;Middle Aged&lt;/keyword&gt;&lt;keyword&gt;Observer Variation&lt;/keyword&gt;&lt;keyword&gt;Radiology/methods&lt;/keyword&gt;&lt;keyword&gt;Reproducibility of Results&lt;/keyword&gt;&lt;keyword&gt;Rheumatology/methods&lt;/keyword&gt;&lt;keyword&gt;Severity of Illness Index&lt;/keyword&gt;&lt;keyword&gt;Toe Joint/*diagnostic imaging&lt;/keyword&gt;&lt;keyword&gt;Ultrasonography, Doppler/*methods&lt;/keyword&gt;&lt;/keywords&gt;&lt;dates&gt;&lt;year&gt;2003&lt;/year&gt;&lt;pub-dates&gt;&lt;date&gt;Apr&lt;/date&gt;&lt;/pub-dates&gt;&lt;/dates&gt;&lt;isbn&gt;0004-3591 (Print)&amp;#xD;0004-3591 (Linking)&lt;/isbn&gt;&lt;accession-num&gt;12687537&lt;/accession-num&gt;&lt;urls&gt;&lt;related-urls&gt;&lt;url&gt;http://www.ncbi.nlm.nih.gov/pubmed/12687537&lt;/url&gt;&lt;/related-urls&gt;&lt;/urls&gt;&lt;electronic-resource-num&gt;10.1002/art.10877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p>
        </w:tc>
        <w:tc>
          <w:tcPr>
            <w:tcW w:w="1160" w:type="pct"/>
            <w:tcBorders>
              <w:top w:val="single" w:sz="18" w:space="0" w:color="auto"/>
              <w:left w:val="nil"/>
              <w:bottom w:val="single" w:sz="4" w:space="0" w:color="auto"/>
              <w:right w:val="nil"/>
            </w:tcBorders>
          </w:tcPr>
          <w:p>
            <w:pPr>
              <w:spacing w:line="240" w:lineRule="auto"/>
              <w:rPr>
                <w:rFonts w:ascii="Times New Roman" w:hAnsi="Times New Roman" w:cs="Times New Roman"/>
                <w:b/>
                <w:sz w:val="24"/>
                <w:szCs w:val="24"/>
              </w:rPr>
            </w:pPr>
            <w:r>
              <w:rPr>
                <w:rFonts w:ascii="Times New Roman" w:hAnsi="Times New Roman" w:cs="Times New Roman"/>
                <w:b/>
                <w:sz w:val="24"/>
                <w:szCs w:val="24"/>
              </w:rPr>
              <w:t>Szkudlarek GS synovitis score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&lt;EndNote&gt;&lt;Cite&gt;&lt;Author&gt;Szkudlarek&lt;/Author&gt;&lt;Year&gt;2003&lt;/Year&gt;&lt;RecNum&gt;30&lt;/RecNum&gt;&lt;DisplayText&gt;&lt;style font="Times New Roman" size="12"&gt;[1]&lt;/style&gt;&lt;/DisplayText&gt;&lt;record&gt;&lt;rec-number&gt;30&lt;/rec-number&gt;&lt;foreign-keys&gt;&lt;key app="EN" db-id="xr2tfstsnew9zreadeuvp55jat9vztwx2pfx" timestamp="1530689623"&gt;30&lt;/key&gt;&lt;/foreign-keys&gt;&lt;ref-type name="Journal Article"&gt;17&lt;/ref-type&gt;&lt;contributors&gt;&lt;authors&gt;&lt;author&gt;Szkudlarek, M.&lt;/author&gt;&lt;author&gt;Court-Payen, M.&lt;/author&gt;&lt;author&gt;Jacobsen, S.&lt;/author&gt;&lt;author&gt;Klarlund, M.&lt;/author&gt;&lt;author&gt;Thomsen, H. S.&lt;/author&gt;&lt;author&gt;Ostergaard, M.&lt;/author&gt;&lt;/authors&gt;&lt;/contributors&gt;&lt;auth-address&gt;University of Copenhagen Hvidovre Hospital, Denmark. marcin@dadlnet.dk&lt;/auth-address&gt;&lt;titles&gt;&lt;title&gt;Interobserver agreement in ultrasonography of the finger and toe joints in rheumatoid arthritis&lt;/title&gt;&lt;secondary-title&gt;Arthritis Rheum&lt;/secondary-title&gt;&lt;/titles&gt;&lt;periodical&gt;&lt;full-title&gt;Arthritis Rheum&lt;/full-title&gt;&lt;/periodical&gt;&lt;pages&gt;955-62&lt;/pages&gt;&lt;volume&gt;48&lt;/volume&gt;&lt;number&gt;4&lt;/number&gt;&lt;keywords&gt;&lt;keyword&gt;Adult&lt;/keyword&gt;&lt;keyword&gt;Aged&lt;/keyword&gt;&lt;keyword&gt;Arthritis, Rheumatoid/*diagnostic imaging&lt;/keyword&gt;&lt;keyword&gt;Female&lt;/keyword&gt;&lt;keyword&gt;Finger Joint/*diagnostic imaging&lt;/keyword&gt;&lt;keyword&gt;Humans&lt;/keyword&gt;&lt;keyword&gt;Male&lt;/keyword&gt;&lt;keyword&gt;Middle Aged&lt;/keyword&gt;&lt;keyword&gt;Observer Variation&lt;/keyword&gt;&lt;keyword&gt;Radiology/methods&lt;/keyword&gt;&lt;keyword&gt;Reproducibility of Results&lt;/keyword&gt;&lt;keyword&gt;Rheumatology/methods&lt;/keyword&gt;&lt;keyword&gt;Severity of Illness Index&lt;/keyword&gt;&lt;keyword&gt;Toe Joint/*diagnostic imaging&lt;/keyword&gt;&lt;keyword&gt;Ultrasonography, Doppler/*methods&lt;/keyword&gt;&lt;/keywords&gt;&lt;dates&gt;&lt;year&gt;2003&lt;/year&gt;&lt;pub-dates&gt;&lt;date&gt;Apr&lt;/date&gt;&lt;/pub-dates&gt;&lt;/dates&gt;&lt;isbn&gt;0004-3591 (Print)&amp;#xD;0004-3591 (Linking)&lt;/isbn&gt;&lt;accession-num&gt;12687537&lt;/accession-num&gt;&lt;urls&gt;&lt;related-urls&gt;&lt;url&gt;http://www.ncbi.nlm.nih.gov/pubmed/12687537&lt;/url&gt;&lt;/related-urls&gt;&lt;/urls&gt;&lt;electronic-resource-num&gt;10.1002/art.10877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p>
        </w:tc>
        <w:tc>
          <w:tcPr>
            <w:tcW w:w="1237" w:type="pct"/>
            <w:tcBorders>
              <w:top w:val="single" w:sz="18" w:space="0" w:color="auto"/>
              <w:left w:val="nil"/>
              <w:bottom w:val="single" w:sz="4" w:space="0" w:color="auto"/>
              <w:right w:val="nil"/>
            </w:tcBorders>
          </w:tcPr>
          <w:p>
            <w:pPr>
              <w:spacing w:line="240" w:lineRule="auto"/>
              <w:rPr>
                <w:rFonts w:ascii="Times New Roman" w:hAnsi="Times New Roman" w:cs="Times New Roman"/>
                <w:b/>
                <w:sz w:val="24"/>
                <w:szCs w:val="24"/>
              </w:rPr>
            </w:pPr>
            <w:r>
              <w:rPr>
                <w:rFonts w:ascii="Times New Roman" w:hAnsi="Times New Roman" w:cs="Times New Roman"/>
                <w:b/>
                <w:sz w:val="24"/>
                <w:szCs w:val="24"/>
              </w:rPr>
              <w:t>Modified Szkudlarek GS synovitis score</w:t>
            </w:r>
            <w:r>
              <w:rPr>
                <w:rFonts w:ascii="Times New Roman" w:hAnsi="Times New Roman" w:cs="Times New Roman"/>
                <w:sz w:val="24"/>
                <w:szCs w:val="24"/>
              </w:rPr>
              <w:fldChar w:fldCharType="begin">
                <w:fldData xml:space="preserve">PEVuZE5vdGU+PENpdGU+PEF1dGhvcj5TY2hlZWw8L0F1dGhvcj48WWVhcj4yMDA1PC9ZZWFyPjxS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PEVuZE5vdGU+PENpdGU+PEF1dGhvcj5TY2hlZWw8L0F1dGhvcj48WWVhcj4yMDA1PC9ZZWFyPjxS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p>
        </w:tc>
        <w:tc>
          <w:tcPr>
            <w:tcW w:w="1250" w:type="pct"/>
            <w:tcBorders>
              <w:top w:val="single" w:sz="18" w:space="0" w:color="auto"/>
              <w:left w:val="nil"/>
              <w:bottom w:val="single" w:sz="4" w:space="0" w:color="auto"/>
              <w:right w:val="nil"/>
            </w:tcBorders>
          </w:tcPr>
          <w:p>
            <w:pPr>
              <w:spacing w:line="240" w:lineRule="auto"/>
              <w:rPr>
                <w:rFonts w:ascii="Times New Roman" w:hAnsi="Times New Roman" w:cs="Times New Roman"/>
                <w:sz w:val="24"/>
                <w:szCs w:val="24"/>
              </w:rPr>
            </w:pPr>
            <w:r>
              <w:rPr>
                <w:rFonts w:ascii="Times New Roman" w:hAnsi="Times New Roman" w:cs="Times New Roman"/>
                <w:b/>
                <w:sz w:val="24"/>
                <w:szCs w:val="24"/>
              </w:rPr>
              <w:t>EULAR-OMERACT GS synovitis score</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&lt;EndNote&gt;&lt;Cite&gt;&lt;Author&gt;D’Agostino&lt;/Author&gt;&lt;Year&gt;2017&lt;/Year&gt;&lt;RecNum&gt;44&lt;/RecNum&gt;&lt;DisplayText&gt;&lt;style font="Times New Roman" size="12"&gt;[3]&lt;/style&gt;&lt;/DisplayText&gt;&lt;record&gt;&lt;rec-number&gt;44&lt;/rec-number&gt;&lt;foreign-keys&gt;&lt;key app="EN" db-id="xr2tfstsnew9zreadeuvp55jat9vztwx2pfx" timestamp="1530706869"&gt;44&lt;/key&gt;&lt;/foreign-keys&gt;&lt;ref-type name="Journal Article"&gt;17&lt;/ref-type&gt;&lt;contributors&gt;&lt;authors&gt;&lt;author&gt;D’Agostino, Maria-Antonietta&lt;/author&gt;&lt;author&gt;Terslev, Lene&lt;/author&gt;&lt;author&gt;Aegerter, Philippe&lt;/author&gt;&lt;author&gt;Backhaus, Marina&lt;/author&gt;&lt;author&gt;Balint, Peter&lt;/author&gt;&lt;author&gt;Bruyn, George A.&lt;/author&gt;&lt;author&gt;Filippucci, Emilio&lt;/author&gt;&lt;author&gt;Grassi, Walter&lt;/author&gt;&lt;author&gt;Iagnocco, Annamaria&lt;/author&gt;&lt;author&gt;Jousse-Joulin, Sandrine&lt;/author&gt;&lt;author&gt;Kane, David&lt;/author&gt;&lt;author&gt;Naredo, Esperanza&lt;/author&gt;&lt;author&gt;Schmidt, Wolfgang&lt;/author&gt;&lt;author&gt;Szkudlarek, Marcin&lt;/author&gt;&lt;author&gt;Conaghan, Philip G.&lt;/author&gt;&lt;author&gt;Wakefield, Richard J.&lt;/author&gt;&lt;/authors&gt;&lt;/contributors&gt;&lt;titles&gt;&lt;title&gt;Scoring ultrasound synovitis in rheumatoid arthritis: a EULAR-OMERACT ultrasound taskforce - Part 1: definition and development of a standardised, consensus-based scoring system&lt;/title&gt;&lt;secondary-title&gt;RMD Open&lt;/secondary-title&gt;&lt;/titles&gt;&lt;periodical&gt;&lt;full-title&gt;RMD Open&lt;/full-title&gt;&lt;/periodical&gt;&lt;volume&gt;3&lt;/volume&gt;&lt;number&gt;1&lt;/number&gt;&lt;dates&gt;&lt;year&gt;2017&lt;/year&gt;&lt;/dates&gt;&lt;work-type&gt;10.1136/rmdopen-2016-000428&lt;/work-type&gt;&lt;urls&gt;&lt;related-urls&gt;&lt;url&gt;&lt;style face="underline" font="default" size="100%"&gt;http://rmdopen.bmj.com/content/3/1/e000428.abstract&lt;/style&gt;&lt;/url&gt;&lt;/related-urls&gt;&lt;/urls&gt;&lt;/record&gt;&lt;/Cite&gt;&lt;/EndNote&gt;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p>
        </w:tc>
      </w:tr>
      <w:bookmarkEnd w:id="2"/>
      <w:tr>
        <w:trPr>
          <w:trHeight w:val="594"/>
        </w:trPr>
        <w:tc>
          <w:tcPr>
            <w:tcW w:w="506" w:type="pct"/>
            <w:tcBorders>
              <w:top w:val="single" w:sz="4" w:space="0" w:color="auto"/>
              <w:left w:val="nil"/>
              <w:right w:val="nil"/>
            </w:tcBorders>
          </w:tcPr>
          <w:p>
            <w:pPr>
              <w:spacing w:line="240" w:lineRule="auto"/>
              <w:rPr>
                <w:rFonts w:ascii="Times New Roman" w:hAnsi="Times New Roman" w:cs="Times New Roman"/>
                <w:sz w:val="24"/>
                <w:szCs w:val="24"/>
              </w:rPr>
            </w:pPr>
            <w:r>
              <w:rPr>
                <w:rFonts w:ascii="Times New Roman" w:hAnsi="Times New Roman" w:cs="Times New Roman"/>
                <w:sz w:val="24"/>
                <w:szCs w:val="24"/>
              </w:rPr>
              <w:t>Grade 0</w:t>
            </w:r>
          </w:p>
        </w:tc>
        <w:tc>
          <w:tcPr>
            <w:tcW w:w="847" w:type="pct"/>
            <w:tcBorders>
              <w:top w:val="single" w:sz="4" w:space="0" w:color="auto"/>
              <w:left w:val="nil"/>
              <w:right w:val="nil"/>
            </w:tcBorders>
            <w:noWrap/>
          </w:tcPr>
          <w:p>
            <w:pPr>
              <w:spacing w:line="240" w:lineRule="auto"/>
              <w:rPr>
                <w:rFonts w:ascii="Times New Roman" w:hAnsi="Times New Roman" w:cs="Times New Roman"/>
              </w:rPr>
            </w:pPr>
            <w:r>
              <w:rPr>
                <w:rFonts w:ascii="Times New Roman" w:hAnsi="Times New Roman" w:cs="Times New Roman"/>
              </w:rPr>
              <w:t>No effusion</w:t>
            </w:r>
          </w:p>
          <w:p>
            <w:pPr>
              <w:spacing w:line="240" w:lineRule="auto"/>
              <w:rPr>
                <w:rFonts w:ascii="Times New Roman" w:hAnsi="Times New Roman" w:cs="Times New Roman"/>
                <w:b/>
              </w:rPr>
            </w:pPr>
          </w:p>
        </w:tc>
        <w:tc>
          <w:tcPr>
            <w:tcW w:w="1160" w:type="pct"/>
            <w:tcBorders>
              <w:top w:val="single" w:sz="4" w:space="0" w:color="auto"/>
              <w:left w:val="nil"/>
              <w:right w:val="nil"/>
            </w:tcBorders>
          </w:tcPr>
          <w:p>
            <w:pPr>
              <w:spacing w:line="240" w:lineRule="auto"/>
              <w:rPr>
                <w:rFonts w:ascii="Times New Roman" w:hAnsi="Times New Roman" w:cs="Times New Roman"/>
                <w:b/>
              </w:rPr>
            </w:pPr>
            <w:r>
              <w:rPr>
                <w:rFonts w:ascii="Times New Roman" w:hAnsi="Times New Roman" w:cs="Times New Roman"/>
              </w:rPr>
              <w:t>No synovial thickening</w:t>
            </w:r>
          </w:p>
        </w:tc>
        <w:tc>
          <w:tcPr>
            <w:tcW w:w="1237" w:type="pct"/>
            <w:tcBorders>
              <w:top w:val="single" w:sz="4" w:space="0" w:color="auto"/>
              <w:left w:val="nil"/>
              <w:right w:val="nil"/>
            </w:tcBorders>
          </w:tcPr>
          <w:p>
            <w:pPr>
              <w:spacing w:line="240" w:lineRule="auto"/>
              <w:rPr>
                <w:rFonts w:ascii="Times New Roman" w:hAnsi="Times New Roman" w:cs="Times New Roman"/>
              </w:rPr>
            </w:pPr>
            <w:r>
              <w:rPr>
                <w:rFonts w:ascii="Times New Roman" w:hAnsi="Times New Roman" w:cs="Times New Roman"/>
              </w:rPr>
              <w:t>No synovial hypertrophy or effusion</w:t>
            </w:r>
          </w:p>
        </w:tc>
        <w:tc>
          <w:tcPr>
            <w:tcW w:w="1250" w:type="pct"/>
            <w:tcBorders>
              <w:top w:val="single" w:sz="4" w:space="0" w:color="auto"/>
              <w:left w:val="nil"/>
              <w:right w:val="nil"/>
            </w:tcBorders>
          </w:tcPr>
          <w:p>
            <w:pPr>
              <w:spacing w:line="240" w:lineRule="auto"/>
              <w:rPr>
                <w:rFonts w:ascii="Times New Roman" w:hAnsi="Times New Roman" w:cs="Times New Roman"/>
              </w:rPr>
            </w:pPr>
            <w:r>
              <w:rPr>
                <w:rFonts w:ascii="Times New Roman" w:hAnsi="Times New Roman" w:cs="Times New Roman"/>
              </w:rPr>
              <w:t>No synovial hypertrophy, regardless of presence of effusion</w:t>
            </w:r>
          </w:p>
          <w:p>
            <w:pPr>
              <w:spacing w:line="240" w:lineRule="auto"/>
              <w:rPr>
                <w:rFonts w:ascii="Times New Roman" w:hAnsi="Times New Roman" w:cs="Times New Roman"/>
                <w:b/>
                <w:color w:val="FF0000"/>
              </w:rPr>
            </w:pPr>
          </w:p>
        </w:tc>
      </w:tr>
      <w:tr>
        <w:trPr>
          <w:trHeight w:val="340"/>
        </w:trPr>
        <w:tc>
          <w:tcPr>
            <w:tcW w:w="506" w:type="pct"/>
            <w:tcBorders>
              <w:top w:val="nil"/>
              <w:left w:val="nil"/>
              <w:bottom w:val="nil"/>
              <w:right w:val="nil"/>
            </w:tcBorders>
          </w:tcPr>
          <w:p>
            <w:pPr>
              <w:pStyle w:val="KeinLeerraum"/>
              <w:spacing w:after="200"/>
              <w:rPr>
                <w:rFonts w:ascii="Times New Roman" w:hAnsi="Times New Roman" w:cs="Times New Roman"/>
                <w:sz w:val="24"/>
                <w:szCs w:val="24"/>
              </w:rPr>
            </w:pPr>
            <w:r>
              <w:rPr>
                <w:rFonts w:ascii="Times New Roman" w:hAnsi="Times New Roman" w:cs="Times New Roman"/>
                <w:sz w:val="24"/>
                <w:szCs w:val="24"/>
              </w:rPr>
              <w:t>Grade 1</w:t>
            </w:r>
          </w:p>
        </w:tc>
        <w:tc>
          <w:tcPr>
            <w:tcW w:w="847" w:type="pct"/>
            <w:tcBorders>
              <w:top w:val="nil"/>
              <w:left w:val="nil"/>
              <w:bottom w:val="nil"/>
              <w:right w:val="nil"/>
            </w:tcBorders>
          </w:tcPr>
          <w:p>
            <w:pPr>
              <w:pStyle w:val="KeinLeerraum"/>
              <w:spacing w:after="200"/>
              <w:rPr>
                <w:rFonts w:ascii="Times New Roman" w:hAnsi="Times New Roman" w:cs="Times New Roman"/>
              </w:rPr>
            </w:pPr>
            <w:r>
              <w:rPr>
                <w:rFonts w:ascii="Times New Roman" w:hAnsi="Times New Roman" w:cs="Times New Roman"/>
              </w:rPr>
              <w:t>Minimal amount of fluid</w:t>
            </w:r>
          </w:p>
        </w:tc>
        <w:tc>
          <w:tcPr>
            <w:tcW w:w="1160" w:type="pct"/>
            <w:tcBorders>
              <w:top w:val="nil"/>
              <w:left w:val="nil"/>
              <w:bottom w:val="nil"/>
              <w:right w:val="nil"/>
            </w:tcBorders>
          </w:tcPr>
          <w:p>
            <w:pPr>
              <w:spacing w:line="240" w:lineRule="auto"/>
              <w:rPr>
                <w:rFonts w:ascii="Times New Roman" w:hAnsi="Times New Roman" w:cs="Times New Roman"/>
              </w:rPr>
            </w:pPr>
            <w:r>
              <w:rPr>
                <w:rFonts w:ascii="Times New Roman" w:hAnsi="Times New Roman" w:cs="Times New Roman"/>
              </w:rPr>
              <w:t xml:space="preserve">Minimal synovial thickening </w:t>
            </w:r>
          </w:p>
          <w:p>
            <w:pPr>
              <w:spacing w:line="240" w:lineRule="auto"/>
              <w:rPr>
                <w:rFonts w:ascii="Times New Roman" w:hAnsi="Times New Roman" w:cs="Times New Roman"/>
              </w:rPr>
            </w:pPr>
            <w:r>
              <w:rPr>
                <w:rFonts w:ascii="Times New Roman" w:hAnsi="Times New Roman" w:cs="Times New Roman"/>
              </w:rPr>
              <w:t>-filling the angle between the peri-articular bones, without bulging over the line, linking tops of the bones</w:t>
            </w:r>
          </w:p>
        </w:tc>
        <w:tc>
          <w:tcPr>
            <w:tcW w:w="1237" w:type="pct"/>
            <w:tcBorders>
              <w:top w:val="nil"/>
              <w:left w:val="nil"/>
              <w:bottom w:val="nil"/>
              <w:right w:val="nil"/>
            </w:tcBorders>
          </w:tcPr>
          <w:p>
            <w:pPr>
              <w:pStyle w:val="KeinLeerraum"/>
              <w:spacing w:after="200"/>
              <w:rPr>
                <w:rFonts w:ascii="Times New Roman" w:hAnsi="Times New Roman" w:cs="Times New Roman"/>
              </w:rPr>
            </w:pPr>
            <w:r>
              <w:rPr>
                <w:rFonts w:ascii="Times New Roman" w:hAnsi="Times New Roman" w:cs="Times New Roman"/>
              </w:rPr>
              <w:t xml:space="preserve">Minimal effusion and/or hypertrophy, </w:t>
            </w:r>
          </w:p>
          <w:p>
            <w:pPr>
              <w:pStyle w:val="KeinLeerraum"/>
              <w:spacing w:after="200"/>
              <w:rPr>
                <w:rFonts w:ascii="Times New Roman" w:hAnsi="Times New Roman" w:cs="Times New Roman"/>
              </w:rPr>
            </w:pPr>
            <w:r>
              <w:rPr>
                <w:rFonts w:ascii="Times New Roman" w:hAnsi="Times New Roman" w:cs="Times New Roman"/>
              </w:rPr>
              <w:t>-filling the angle between the peri-articular bones, without bulging over the line, linking tops of the bones</w:t>
            </w:r>
          </w:p>
        </w:tc>
        <w:tc>
          <w:tcPr>
            <w:tcW w:w="1250" w:type="pct"/>
            <w:tcBorders>
              <w:top w:val="nil"/>
              <w:left w:val="nil"/>
              <w:bottom w:val="nil"/>
              <w:right w:val="nil"/>
            </w:tcBorders>
          </w:tcPr>
          <w:p>
            <w:pPr>
              <w:pStyle w:val="KeinLeerraum"/>
              <w:spacing w:after="200"/>
              <w:rPr>
                <w:rFonts w:ascii="Times New Roman" w:hAnsi="Times New Roman" w:cs="Times New Roman"/>
              </w:rPr>
            </w:pPr>
            <w:r>
              <w:rPr>
                <w:rFonts w:ascii="Times New Roman" w:hAnsi="Times New Roman" w:cs="Times New Roman"/>
              </w:rPr>
              <w:t xml:space="preserve">Synovial hypertrophy with or without effusion </w:t>
            </w:r>
          </w:p>
          <w:p>
            <w:pPr>
              <w:pStyle w:val="KeinLeerraum"/>
              <w:spacing w:after="200"/>
              <w:rPr>
                <w:rFonts w:ascii="Times New Roman" w:hAnsi="Times New Roman" w:cs="Times New Roman"/>
              </w:rPr>
            </w:pPr>
            <w:r>
              <w:rPr>
                <w:rFonts w:ascii="Times New Roman" w:hAnsi="Times New Roman" w:cs="Times New Roman"/>
              </w:rPr>
              <w:t xml:space="preserve">-up to level of horizontal line that connects bone surfaces </w:t>
            </w:r>
          </w:p>
          <w:p>
            <w:pPr>
              <w:pStyle w:val="KeinLeerraum"/>
              <w:spacing w:after="200"/>
              <w:rPr>
                <w:rFonts w:ascii="Times New Roman" w:hAnsi="Times New Roman" w:cs="Times New Roman"/>
              </w:rPr>
            </w:pPr>
          </w:p>
        </w:tc>
      </w:tr>
      <w:tr>
        <w:trPr>
          <w:trHeight w:val="340"/>
        </w:trPr>
        <w:tc>
          <w:tcPr>
            <w:tcW w:w="506" w:type="pct"/>
            <w:tcBorders>
              <w:top w:val="nil"/>
              <w:left w:val="nil"/>
              <w:bottom w:val="nil"/>
              <w:right w:val="nil"/>
            </w:tcBorders>
          </w:tcPr>
          <w:p>
            <w:pPr>
              <w:pStyle w:val="KeinLeerraum"/>
              <w:spacing w:after="200"/>
              <w:rPr>
                <w:rFonts w:ascii="Times New Roman" w:hAnsi="Times New Roman" w:cs="Times New Roman"/>
                <w:sz w:val="24"/>
                <w:szCs w:val="24"/>
              </w:rPr>
            </w:pPr>
            <w:r>
              <w:rPr>
                <w:rFonts w:ascii="Times New Roman" w:hAnsi="Times New Roman" w:cs="Times New Roman"/>
                <w:sz w:val="24"/>
                <w:szCs w:val="24"/>
              </w:rPr>
              <w:t>Grade 2</w:t>
            </w:r>
          </w:p>
        </w:tc>
        <w:tc>
          <w:tcPr>
            <w:tcW w:w="847" w:type="pct"/>
            <w:tcBorders>
              <w:top w:val="nil"/>
              <w:left w:val="nil"/>
              <w:bottom w:val="nil"/>
              <w:right w:val="nil"/>
            </w:tcBorders>
          </w:tcPr>
          <w:p>
            <w:pPr>
              <w:pStyle w:val="KeinLeerraum"/>
              <w:spacing w:after="200"/>
              <w:rPr>
                <w:rFonts w:ascii="Times New Roman" w:hAnsi="Times New Roman" w:cs="Times New Roman"/>
              </w:rPr>
            </w:pPr>
            <w:r>
              <w:rPr>
                <w:rFonts w:ascii="Times New Roman" w:hAnsi="Times New Roman" w:cs="Times New Roman"/>
              </w:rPr>
              <w:t>Moderate amount of fluid, without distension of the joint capsule</w:t>
            </w:r>
          </w:p>
        </w:tc>
        <w:tc>
          <w:tcPr>
            <w:tcW w:w="1160" w:type="pct"/>
            <w:tcBorders>
              <w:top w:val="nil"/>
              <w:left w:val="nil"/>
              <w:bottom w:val="nil"/>
              <w:right w:val="nil"/>
            </w:tcBorders>
          </w:tcPr>
          <w:p>
            <w:pPr>
              <w:spacing w:line="240" w:lineRule="auto"/>
              <w:rPr>
                <w:rFonts w:ascii="Times New Roman" w:hAnsi="Times New Roman" w:cs="Times New Roman"/>
              </w:rPr>
            </w:pPr>
            <w:r>
              <w:rPr>
                <w:rFonts w:ascii="Times New Roman" w:hAnsi="Times New Roman" w:cs="Times New Roman"/>
              </w:rPr>
              <w:t xml:space="preserve">Synovial thickening </w:t>
            </w:r>
          </w:p>
          <w:p>
            <w:pPr>
              <w:spacing w:line="240" w:lineRule="auto"/>
              <w:rPr>
                <w:rFonts w:ascii="Times New Roman" w:hAnsi="Times New Roman" w:cs="Times New Roman"/>
              </w:rPr>
            </w:pPr>
            <w:r>
              <w:rPr>
                <w:rFonts w:ascii="Times New Roman" w:hAnsi="Times New Roman" w:cs="Times New Roman"/>
              </w:rPr>
              <w:t>-bulging over the line linking tops of the peri-articular bones but without extension along the bone diaphysis</w:t>
            </w:r>
          </w:p>
          <w:p>
            <w:pPr>
              <w:pStyle w:val="KeinLeerraum"/>
              <w:spacing w:after="200"/>
              <w:rPr>
                <w:rFonts w:ascii="Times New Roman" w:hAnsi="Times New Roman" w:cs="Times New Roman"/>
              </w:rPr>
            </w:pPr>
          </w:p>
        </w:tc>
        <w:tc>
          <w:tcPr>
            <w:tcW w:w="1237" w:type="pct"/>
            <w:tcBorders>
              <w:top w:val="nil"/>
              <w:left w:val="nil"/>
              <w:bottom w:val="nil"/>
              <w:right w:val="nil"/>
            </w:tcBorders>
          </w:tcPr>
          <w:p>
            <w:pPr>
              <w:spacing w:line="240" w:lineRule="auto"/>
              <w:rPr>
                <w:rFonts w:ascii="Times New Roman" w:hAnsi="Times New Roman" w:cs="Times New Roman"/>
              </w:rPr>
            </w:pPr>
            <w:r>
              <w:rPr>
                <w:rFonts w:ascii="Times New Roman" w:hAnsi="Times New Roman" w:cs="Times New Roman"/>
              </w:rPr>
              <w:t xml:space="preserve">Moderate effusion and/or hypertrophy </w:t>
            </w:r>
          </w:p>
          <w:p>
            <w:pPr>
              <w:spacing w:line="240" w:lineRule="auto"/>
              <w:rPr>
                <w:rFonts w:ascii="Times New Roman" w:hAnsi="Times New Roman" w:cs="Times New Roman"/>
              </w:rPr>
            </w:pPr>
            <w:r>
              <w:rPr>
                <w:rFonts w:ascii="Times New Roman" w:hAnsi="Times New Roman" w:cs="Times New Roman"/>
              </w:rPr>
              <w:t>-bulging over the line linking tops of the peri-articular bones but without extension along the bone diaphysis</w:t>
            </w:r>
          </w:p>
          <w:p>
            <w:pPr>
              <w:spacing w:line="240" w:lineRule="auto"/>
              <w:rPr>
                <w:rFonts w:ascii="Times New Roman" w:hAnsi="Times New Roman" w:cs="Times New Roman"/>
              </w:rPr>
            </w:pPr>
          </w:p>
        </w:tc>
        <w:tc>
          <w:tcPr>
            <w:tcW w:w="1250" w:type="pct"/>
            <w:tcBorders>
              <w:top w:val="nil"/>
              <w:left w:val="nil"/>
              <w:bottom w:val="nil"/>
              <w:right w:val="nil"/>
            </w:tcBorders>
          </w:tcPr>
          <w:p>
            <w:pPr>
              <w:spacing w:line="240" w:lineRule="auto"/>
              <w:rPr>
                <w:rFonts w:ascii="Times New Roman" w:hAnsi="Times New Roman" w:cs="Times New Roman"/>
              </w:rPr>
            </w:pPr>
            <w:r>
              <w:rPr>
                <w:rFonts w:ascii="Times New Roman" w:hAnsi="Times New Roman" w:cs="Times New Roman"/>
              </w:rPr>
              <w:t xml:space="preserve">Synovial hypertrophy with or without effusion </w:t>
            </w:r>
          </w:p>
          <w:p>
            <w:pPr>
              <w:spacing w:line="240" w:lineRule="auto"/>
              <w:rPr>
                <w:rFonts w:ascii="Times New Roman" w:hAnsi="Times New Roman" w:cs="Times New Roman"/>
              </w:rPr>
            </w:pPr>
            <w:r>
              <w:rPr>
                <w:rFonts w:ascii="Times New Roman" w:hAnsi="Times New Roman" w:cs="Times New Roman"/>
              </w:rPr>
              <w:t>-extending beyond joint line but with upper surface convex or hypertrophy extending beyond joint line but with upper surface flat</w:t>
            </w:r>
          </w:p>
          <w:p>
            <w:pPr>
              <w:spacing w:line="240" w:lineRule="auto"/>
              <w:rPr>
                <w:rFonts w:ascii="Times New Roman" w:hAnsi="Times New Roman" w:cs="Times New Roman"/>
              </w:rPr>
            </w:pPr>
          </w:p>
        </w:tc>
      </w:tr>
      <w:tr>
        <w:trPr>
          <w:cantSplit/>
          <w:trHeight w:val="340"/>
        </w:trPr>
        <w:tc>
          <w:tcPr>
            <w:tcW w:w="506" w:type="pct"/>
            <w:tcBorders>
              <w:top w:val="nil"/>
              <w:left w:val="nil"/>
              <w:bottom w:val="single" w:sz="6" w:space="0" w:color="auto"/>
            </w:tcBorders>
          </w:tcPr>
          <w:p>
            <w:pPr>
              <w:spacing w:line="240" w:lineRule="auto"/>
              <w:rPr>
                <w:rFonts w:ascii="Times New Roman" w:hAnsi="Times New Roman" w:cs="Times New Roman"/>
                <w:sz w:val="24"/>
                <w:szCs w:val="24"/>
              </w:rPr>
            </w:pPr>
            <w:r>
              <w:rPr>
                <w:rFonts w:ascii="Times New Roman" w:hAnsi="Times New Roman" w:cs="Times New Roman"/>
                <w:sz w:val="24"/>
                <w:szCs w:val="24"/>
              </w:rPr>
              <w:t>Grade 3</w:t>
            </w:r>
          </w:p>
        </w:tc>
        <w:tc>
          <w:tcPr>
            <w:tcW w:w="847" w:type="pct"/>
            <w:tcBorders>
              <w:top w:val="nil"/>
              <w:left w:val="nil"/>
              <w:bottom w:val="single" w:sz="6" w:space="0" w:color="auto"/>
            </w:tcBorders>
            <w:shd w:val="clear" w:color="auto" w:fill="auto"/>
            <w:noWrap/>
          </w:tcPr>
          <w:p>
            <w:pPr>
              <w:spacing w:line="240" w:lineRule="auto"/>
              <w:rPr>
                <w:rFonts w:ascii="Times New Roman" w:hAnsi="Times New Roman" w:cs="Times New Roman"/>
              </w:rPr>
            </w:pPr>
            <w:r>
              <w:rPr>
                <w:rFonts w:ascii="Times New Roman" w:hAnsi="Times New Roman" w:cs="Times New Roman"/>
              </w:rPr>
              <w:t>Extensive amount of fluid, with distension of the joint capsule</w:t>
            </w:r>
          </w:p>
          <w:p>
            <w:pPr>
              <w:pStyle w:val="KeinLeerraum"/>
              <w:spacing w:after="200"/>
              <w:rPr>
                <w:rFonts w:ascii="Times New Roman" w:hAnsi="Times New Roman" w:cs="Times New Roman"/>
              </w:rPr>
            </w:pPr>
          </w:p>
        </w:tc>
        <w:tc>
          <w:tcPr>
            <w:tcW w:w="1160" w:type="pct"/>
            <w:tcBorders>
              <w:top w:val="nil"/>
              <w:left w:val="nil"/>
              <w:bottom w:val="single" w:sz="6" w:space="0" w:color="auto"/>
            </w:tcBorders>
          </w:tcPr>
          <w:p>
            <w:pPr>
              <w:spacing w:line="240" w:lineRule="auto"/>
              <w:rPr>
                <w:rFonts w:ascii="Times New Roman" w:hAnsi="Times New Roman" w:cs="Times New Roman"/>
              </w:rPr>
            </w:pPr>
            <w:r>
              <w:rPr>
                <w:rFonts w:ascii="Times New Roman" w:hAnsi="Times New Roman" w:cs="Times New Roman"/>
              </w:rPr>
              <w:t xml:space="preserve">Synovial thickening </w:t>
            </w:r>
          </w:p>
          <w:p>
            <w:pPr>
              <w:spacing w:line="240" w:lineRule="auto"/>
              <w:rPr>
                <w:rFonts w:ascii="Times New Roman" w:hAnsi="Times New Roman" w:cs="Times New Roman"/>
              </w:rPr>
            </w:pPr>
            <w:r>
              <w:rPr>
                <w:rFonts w:ascii="Times New Roman" w:hAnsi="Times New Roman" w:cs="Times New Roman"/>
              </w:rPr>
              <w:t>-bulging over the line linking tops of the periarticular bones and with extension to at least one of the bone diaphyses</w:t>
            </w:r>
          </w:p>
        </w:tc>
        <w:tc>
          <w:tcPr>
            <w:tcW w:w="1237" w:type="pct"/>
            <w:tcBorders>
              <w:top w:val="nil"/>
              <w:left w:val="nil"/>
              <w:bottom w:val="single" w:sz="6" w:space="0" w:color="auto"/>
              <w:right w:val="nil"/>
            </w:tcBorders>
          </w:tcPr>
          <w:p>
            <w:pPr>
              <w:pStyle w:val="KeinLeerraum"/>
              <w:spacing w:after="200"/>
              <w:rPr>
                <w:rFonts w:ascii="Times New Roman" w:hAnsi="Times New Roman" w:cs="Times New Roman"/>
              </w:rPr>
            </w:pPr>
            <w:r>
              <w:rPr>
                <w:rFonts w:ascii="Times New Roman" w:hAnsi="Times New Roman" w:cs="Times New Roman"/>
              </w:rPr>
              <w:t>Extensive effusion and/or hypertrophy</w:t>
            </w:r>
          </w:p>
          <w:p>
            <w:pPr>
              <w:pStyle w:val="KeinLeerraum"/>
              <w:spacing w:after="200"/>
              <w:rPr>
                <w:rFonts w:ascii="Times New Roman" w:hAnsi="Times New Roman" w:cs="Times New Roman"/>
              </w:rPr>
            </w:pPr>
            <w:r>
              <w:rPr>
                <w:rFonts w:ascii="Times New Roman" w:hAnsi="Times New Roman" w:cs="Times New Roman"/>
              </w:rPr>
              <w:t>-bulging over the line linking tops of the periarticular bones and with extension to at least one of the bone diaphyses</w:t>
            </w:r>
          </w:p>
        </w:tc>
        <w:tc>
          <w:tcPr>
            <w:tcW w:w="1250" w:type="pct"/>
            <w:tcBorders>
              <w:top w:val="nil"/>
              <w:left w:val="nil"/>
              <w:bottom w:val="single" w:sz="6" w:space="0" w:color="auto"/>
            </w:tcBorders>
          </w:tcPr>
          <w:p>
            <w:pPr>
              <w:pStyle w:val="KeinLeerraum"/>
              <w:spacing w:after="200"/>
              <w:rPr>
                <w:rFonts w:ascii="Times New Roman" w:hAnsi="Times New Roman" w:cs="Times New Roman"/>
              </w:rPr>
            </w:pPr>
            <w:r>
              <w:rPr>
                <w:rFonts w:ascii="Times New Roman" w:hAnsi="Times New Roman" w:cs="Times New Roman"/>
              </w:rPr>
              <w:t>Synovial hypertrophy </w:t>
            </w:r>
          </w:p>
          <w:p>
            <w:pPr>
              <w:pStyle w:val="KeinLeerraum"/>
              <w:spacing w:after="200"/>
              <w:rPr>
                <w:rFonts w:ascii="Times New Roman" w:hAnsi="Times New Roman" w:cs="Times New Roman"/>
              </w:rPr>
            </w:pPr>
            <w:r>
              <w:rPr>
                <w:rFonts w:ascii="Times New Roman" w:hAnsi="Times New Roman" w:cs="Times New Roman"/>
              </w:rPr>
              <w:t>- with or without effusion extending beyond joint line but with upper surface flat or convex</w:t>
            </w:r>
          </w:p>
        </w:tc>
      </w:tr>
      <w:bookmarkEnd w:id="1"/>
    </w:tbl>
    <w:p>
      <w:pPr>
        <w:rPr>
          <w:rFonts w:ascii="Times New Roman" w:hAnsi="Times New Roman" w:cs="Times New Roman"/>
          <w:sz w:val="24"/>
          <w:szCs w:val="24"/>
        </w:rPr>
      </w:pPr>
      <w:r>
        <w:rPr>
          <w:rFonts w:ascii="Times New Roman" w:hAnsi="Times New Roman" w:cs="Times New Roman"/>
          <w:sz w:val="24"/>
          <w:szCs w:val="24"/>
        </w:rPr>
        <w:br w:type="page"/>
      </w:r>
    </w:p>
    <w:p>
      <w:pPr>
        <w:spacing w:after="160" w:line="259" w:lineRule="auto"/>
        <w:rPr>
          <w:rFonts w:ascii="Times New Roman" w:hAnsi="Times New Roman"/>
          <w:b/>
          <w:sz w:val="24"/>
          <w:szCs w:val="24"/>
        </w:rPr>
      </w:pPr>
      <w:r>
        <w:rPr>
          <w:rFonts w:ascii="Times New Roman" w:hAnsi="Times New Roman"/>
          <w:b/>
          <w:sz w:val="24"/>
          <w:szCs w:val="24"/>
        </w:rPr>
        <w:lastRenderedPageBreak/>
        <w:t>Table S2</w:t>
      </w:r>
      <w:r>
        <w:rPr>
          <w:rFonts w:ascii="Times New Roman" w:hAnsi="Times New Roman"/>
          <w:sz w:val="24"/>
          <w:szCs w:val="24"/>
        </w:rPr>
        <w:t>. Baseline characteristics of 70 patients studied.</w:t>
      </w:r>
    </w:p>
    <w:tbl>
      <w:tblPr>
        <w:tblW w:w="5000" w:type="pct"/>
        <w:tblCellMar>
          <w:left w:w="70" w:type="dxa"/>
          <w:right w:w="70" w:type="dxa"/>
        </w:tblCellMar>
        <w:tblLook w:val="00A0" w:firstRow="1" w:lastRow="0" w:firstColumn="1" w:lastColumn="0" w:noHBand="0" w:noVBand="0"/>
      </w:tblPr>
      <w:tblGrid>
        <w:gridCol w:w="4795"/>
        <w:gridCol w:w="677"/>
        <w:gridCol w:w="1341"/>
        <w:gridCol w:w="843"/>
        <w:gridCol w:w="1370"/>
      </w:tblGrid>
      <w:tr>
        <w:trPr>
          <w:trHeight w:val="594"/>
        </w:trPr>
        <w:tc>
          <w:tcPr>
            <w:tcW w:w="2656" w:type="pct"/>
            <w:tcBorders>
              <w:top w:val="single" w:sz="18" w:space="0" w:color="auto"/>
              <w:left w:val="nil"/>
              <w:bottom w:val="single" w:sz="2" w:space="0" w:color="auto"/>
              <w:right w:val="nil"/>
            </w:tcBorders>
            <w:noWrap/>
          </w:tcPr>
          <w:p>
            <w:pPr>
              <w:spacing w:after="0"/>
              <w:rPr>
                <w:rFonts w:ascii="Times New Roman" w:hAnsi="Times New Roman"/>
                <w:sz w:val="24"/>
                <w:szCs w:val="24"/>
              </w:rPr>
            </w:pPr>
          </w:p>
        </w:tc>
        <w:tc>
          <w:tcPr>
            <w:tcW w:w="1118" w:type="pct"/>
            <w:gridSpan w:val="2"/>
            <w:tcBorders>
              <w:top w:val="single" w:sz="18" w:space="0" w:color="auto"/>
              <w:left w:val="nil"/>
              <w:bottom w:val="single" w:sz="2" w:space="0" w:color="auto"/>
            </w:tcBorders>
          </w:tcPr>
          <w:p>
            <w:pPr>
              <w:spacing w:after="0"/>
              <w:jc w:val="center"/>
              <w:rPr>
                <w:rFonts w:ascii="Times New Roman" w:hAnsi="Times New Roman"/>
                <w:b/>
                <w:sz w:val="24"/>
                <w:szCs w:val="24"/>
              </w:rPr>
            </w:pPr>
            <w:r>
              <w:rPr>
                <w:rFonts w:ascii="Times New Roman" w:hAnsi="Times New Roman"/>
                <w:b/>
                <w:sz w:val="24"/>
                <w:szCs w:val="24"/>
              </w:rPr>
              <w:t>IA patients</w:t>
            </w:r>
          </w:p>
          <w:p>
            <w:pPr>
              <w:spacing w:after="0"/>
              <w:jc w:val="center"/>
              <w:rPr>
                <w:rFonts w:ascii="Times New Roman" w:hAnsi="Times New Roman"/>
                <w:b/>
                <w:sz w:val="24"/>
                <w:szCs w:val="24"/>
              </w:rPr>
            </w:pPr>
            <w:r>
              <w:rPr>
                <w:rFonts w:ascii="Times New Roman" w:hAnsi="Times New Roman"/>
                <w:b/>
                <w:sz w:val="24"/>
                <w:szCs w:val="24"/>
              </w:rPr>
              <w:t>(n=30)</w:t>
            </w:r>
          </w:p>
        </w:tc>
        <w:tc>
          <w:tcPr>
            <w:tcW w:w="1226" w:type="pct"/>
            <w:gridSpan w:val="2"/>
            <w:tcBorders>
              <w:top w:val="single" w:sz="18" w:space="0" w:color="auto"/>
              <w:left w:val="nil"/>
              <w:bottom w:val="single" w:sz="2" w:space="0" w:color="auto"/>
            </w:tcBorders>
          </w:tcPr>
          <w:p>
            <w:pPr>
              <w:spacing w:after="0"/>
              <w:jc w:val="center"/>
              <w:rPr>
                <w:rFonts w:ascii="Times New Roman" w:hAnsi="Times New Roman"/>
                <w:b/>
                <w:sz w:val="24"/>
                <w:szCs w:val="24"/>
              </w:rPr>
            </w:pPr>
            <w:r>
              <w:rPr>
                <w:rFonts w:ascii="Times New Roman" w:hAnsi="Times New Roman"/>
                <w:b/>
                <w:sz w:val="24"/>
                <w:szCs w:val="24"/>
              </w:rPr>
              <w:t>CSA patients</w:t>
            </w:r>
          </w:p>
          <w:p>
            <w:pPr>
              <w:spacing w:after="0"/>
              <w:jc w:val="center"/>
              <w:rPr>
                <w:rFonts w:ascii="Times New Roman" w:hAnsi="Times New Roman"/>
                <w:b/>
                <w:sz w:val="24"/>
                <w:szCs w:val="24"/>
              </w:rPr>
            </w:pPr>
            <w:r>
              <w:rPr>
                <w:rFonts w:ascii="Times New Roman" w:hAnsi="Times New Roman"/>
                <w:b/>
                <w:sz w:val="24"/>
                <w:szCs w:val="24"/>
              </w:rPr>
              <w:t>(n=40)</w:t>
            </w:r>
          </w:p>
        </w:tc>
      </w:tr>
      <w:tr>
        <w:trPr>
          <w:trHeight w:val="340"/>
        </w:trPr>
        <w:tc>
          <w:tcPr>
            <w:tcW w:w="2656" w:type="pct"/>
            <w:tcBorders>
              <w:top w:val="single" w:sz="2" w:space="0" w:color="auto"/>
              <w:left w:val="nil"/>
              <w:bottom w:val="nil"/>
            </w:tcBorders>
            <w:noWrap/>
            <w:vAlign w:val="bottom"/>
          </w:tcPr>
          <w:p>
            <w:pPr>
              <w:pStyle w:val="KeinLeerraum"/>
              <w:rPr>
                <w:rFonts w:ascii="Times New Roman" w:hAnsi="Times New Roman" w:cs="Times New Roman"/>
                <w:sz w:val="24"/>
                <w:szCs w:val="24"/>
              </w:rPr>
            </w:pPr>
            <w:r>
              <w:rPr>
                <w:rFonts w:ascii="Times New Roman" w:hAnsi="Times New Roman" w:cs="Times New Roman"/>
                <w:sz w:val="24"/>
                <w:szCs w:val="24"/>
              </w:rPr>
              <w:t>Age, mean (SD)</w:t>
            </w:r>
          </w:p>
        </w:tc>
        <w:tc>
          <w:tcPr>
            <w:tcW w:w="375" w:type="pct"/>
            <w:tcBorders>
              <w:top w:val="single" w:sz="2" w:space="0" w:color="auto"/>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57</w:t>
            </w:r>
          </w:p>
        </w:tc>
        <w:tc>
          <w:tcPr>
            <w:tcW w:w="743" w:type="pct"/>
            <w:tcBorders>
              <w:top w:val="single" w:sz="2"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(16)</w:t>
            </w:r>
          </w:p>
        </w:tc>
        <w:tc>
          <w:tcPr>
            <w:tcW w:w="467" w:type="pct"/>
            <w:tcBorders>
              <w:top w:val="single" w:sz="2" w:space="0" w:color="auto"/>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45</w:t>
            </w:r>
          </w:p>
        </w:tc>
        <w:tc>
          <w:tcPr>
            <w:tcW w:w="759" w:type="pct"/>
            <w:tcBorders>
              <w:top w:val="single" w:sz="2"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(11)</w:t>
            </w:r>
          </w:p>
        </w:tc>
      </w:tr>
      <w:tr>
        <w:trPr>
          <w:trHeight w:val="340"/>
        </w:trPr>
        <w:tc>
          <w:tcPr>
            <w:tcW w:w="2656"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Female, n (%)</w:t>
            </w:r>
          </w:p>
        </w:tc>
        <w:tc>
          <w:tcPr>
            <w:tcW w:w="375" w:type="pct"/>
            <w:tcBorders>
              <w:top w:val="nil"/>
              <w:left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15</w:t>
            </w:r>
          </w:p>
        </w:tc>
        <w:tc>
          <w:tcPr>
            <w:tcW w:w="743"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(50)</w:t>
            </w:r>
          </w:p>
        </w:tc>
        <w:tc>
          <w:tcPr>
            <w:tcW w:w="467" w:type="pct"/>
            <w:tcBorders>
              <w:top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28</w:t>
            </w:r>
          </w:p>
        </w:tc>
        <w:tc>
          <w:tcPr>
            <w:tcW w:w="759"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(70)</w:t>
            </w:r>
          </w:p>
        </w:tc>
      </w:tr>
      <w:tr>
        <w:trPr>
          <w:trHeight w:val="340"/>
        </w:trPr>
        <w:tc>
          <w:tcPr>
            <w:tcW w:w="2656"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68-Tender joint count, median (IQR)</w:t>
            </w:r>
          </w:p>
        </w:tc>
        <w:tc>
          <w:tcPr>
            <w:tcW w:w="375" w:type="pct"/>
            <w:tcBorders>
              <w:top w:val="nil"/>
              <w:left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5</w:t>
            </w:r>
          </w:p>
        </w:tc>
        <w:tc>
          <w:tcPr>
            <w:tcW w:w="743"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(2-7)</w:t>
            </w:r>
          </w:p>
        </w:tc>
        <w:tc>
          <w:tcPr>
            <w:tcW w:w="467" w:type="pct"/>
            <w:tcBorders>
              <w:top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5</w:t>
            </w:r>
          </w:p>
        </w:tc>
        <w:tc>
          <w:tcPr>
            <w:tcW w:w="759"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(3-10)</w:t>
            </w:r>
          </w:p>
        </w:tc>
      </w:tr>
      <w:tr>
        <w:trPr>
          <w:trHeight w:val="340"/>
        </w:trPr>
        <w:tc>
          <w:tcPr>
            <w:tcW w:w="2656"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66-Swollen joint count, median (IQR)</w:t>
            </w:r>
          </w:p>
        </w:tc>
        <w:tc>
          <w:tcPr>
            <w:tcW w:w="375" w:type="pct"/>
            <w:tcBorders>
              <w:top w:val="nil"/>
              <w:left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2</w:t>
            </w:r>
          </w:p>
        </w:tc>
        <w:tc>
          <w:tcPr>
            <w:tcW w:w="743"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(1-6)</w:t>
            </w:r>
          </w:p>
        </w:tc>
        <w:tc>
          <w:tcPr>
            <w:tcW w:w="467" w:type="pct"/>
            <w:tcBorders>
              <w:top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w:t>
            </w:r>
          </w:p>
        </w:tc>
        <w:tc>
          <w:tcPr>
            <w:tcW w:w="759" w:type="pct"/>
            <w:tcBorders>
              <w:top w:val="nil"/>
              <w:bottom w:val="nil"/>
            </w:tcBorders>
            <w:vAlign w:val="bottom"/>
          </w:tcPr>
          <w:p>
            <w:pPr>
              <w:pStyle w:val="KeinLeerraum"/>
              <w:rPr>
                <w:rFonts w:ascii="Times New Roman" w:hAnsi="Times New Roman" w:cs="Times New Roman"/>
                <w:sz w:val="24"/>
                <w:szCs w:val="24"/>
              </w:rPr>
            </w:pPr>
          </w:p>
        </w:tc>
      </w:tr>
      <w:tr>
        <w:trPr>
          <w:trHeight w:val="340"/>
        </w:trPr>
        <w:tc>
          <w:tcPr>
            <w:tcW w:w="2656" w:type="pct"/>
            <w:tcBorders>
              <w:top w:val="nil"/>
              <w:left w:val="nil"/>
              <w:bottom w:val="nil"/>
              <w:right w:val="nil"/>
            </w:tcBorders>
            <w:noWrap/>
            <w:vAlign w:val="bottom"/>
          </w:tcPr>
          <w:p>
            <w:pPr>
              <w:pStyle w:val="KeinLeerraum"/>
              <w:rPr>
                <w:rFonts w:ascii="Times New Roman" w:hAnsi="Times New Roman" w:cs="Times New Roman"/>
                <w:sz w:val="24"/>
                <w:szCs w:val="24"/>
              </w:rPr>
            </w:pPr>
            <w:r>
              <w:rPr>
                <w:rFonts w:ascii="Times New Roman" w:hAnsi="Times New Roman" w:cs="Times New Roman"/>
                <w:sz w:val="24"/>
                <w:szCs w:val="24"/>
              </w:rPr>
              <w:t>CRP (mg/L), median (IQR)</w:t>
            </w:r>
          </w:p>
        </w:tc>
        <w:tc>
          <w:tcPr>
            <w:tcW w:w="375" w:type="pct"/>
            <w:tcBorders>
              <w:top w:val="nil"/>
              <w:left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8</w:t>
            </w:r>
          </w:p>
        </w:tc>
        <w:tc>
          <w:tcPr>
            <w:tcW w:w="743"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(3-18)</w:t>
            </w:r>
          </w:p>
        </w:tc>
        <w:tc>
          <w:tcPr>
            <w:tcW w:w="467" w:type="pct"/>
            <w:tcBorders>
              <w:top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3</w:t>
            </w:r>
          </w:p>
        </w:tc>
        <w:tc>
          <w:tcPr>
            <w:tcW w:w="759"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(3-7)</w:t>
            </w:r>
          </w:p>
        </w:tc>
      </w:tr>
      <w:tr>
        <w:trPr>
          <w:cantSplit/>
          <w:trHeight w:val="340"/>
        </w:trPr>
        <w:tc>
          <w:tcPr>
            <w:tcW w:w="2656" w:type="pct"/>
            <w:tcBorders>
              <w:top w:val="nil"/>
              <w:left w:val="nil"/>
              <w:bottom w:val="nil"/>
              <w:right w:val="nil"/>
            </w:tcBorders>
            <w:noWrap/>
            <w:vAlign w:val="bottom"/>
          </w:tcPr>
          <w:p>
            <w:pPr>
              <w:pStyle w:val="KeinLeerraum"/>
              <w:rPr>
                <w:rFonts w:ascii="Times New Roman" w:hAnsi="Times New Roman" w:cs="Times New Roman"/>
                <w:sz w:val="24"/>
                <w:szCs w:val="24"/>
              </w:rPr>
            </w:pPr>
            <w:r>
              <w:rPr>
                <w:rFonts w:ascii="Times New Roman" w:hAnsi="Times New Roman" w:cs="Times New Roman"/>
                <w:sz w:val="24"/>
                <w:szCs w:val="24"/>
              </w:rPr>
              <w:t>RF positive (≥3.5 IU/mL), n (%)</w:t>
            </w:r>
          </w:p>
        </w:tc>
        <w:tc>
          <w:tcPr>
            <w:tcW w:w="375" w:type="pct"/>
            <w:tcBorders>
              <w:top w:val="nil"/>
              <w:left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7</w:t>
            </w:r>
          </w:p>
        </w:tc>
        <w:tc>
          <w:tcPr>
            <w:tcW w:w="743"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(23)</w:t>
            </w:r>
          </w:p>
        </w:tc>
        <w:tc>
          <w:tcPr>
            <w:tcW w:w="467" w:type="pct"/>
            <w:tcBorders>
              <w:top w:val="nil"/>
              <w:bottom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13</w:t>
            </w:r>
          </w:p>
        </w:tc>
        <w:tc>
          <w:tcPr>
            <w:tcW w:w="759"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(33)</w:t>
            </w:r>
          </w:p>
        </w:tc>
      </w:tr>
      <w:tr>
        <w:trPr>
          <w:cantSplit/>
          <w:trHeight w:val="340"/>
        </w:trPr>
        <w:tc>
          <w:tcPr>
            <w:tcW w:w="2656" w:type="pct"/>
            <w:tcBorders>
              <w:top w:val="nil"/>
              <w:left w:val="nil"/>
              <w:right w:val="nil"/>
            </w:tcBorders>
            <w:noWrap/>
            <w:vAlign w:val="bottom"/>
          </w:tcPr>
          <w:p>
            <w:pPr>
              <w:pStyle w:val="KeinLeerraum"/>
              <w:rPr>
                <w:rFonts w:ascii="Times New Roman" w:hAnsi="Times New Roman" w:cs="Times New Roman"/>
                <w:sz w:val="24"/>
                <w:szCs w:val="24"/>
              </w:rPr>
            </w:pPr>
            <w:r>
              <w:rPr>
                <w:rFonts w:ascii="Times New Roman" w:hAnsi="Times New Roman" w:cs="Times New Roman"/>
                <w:sz w:val="24"/>
                <w:szCs w:val="24"/>
              </w:rPr>
              <w:t>ACPA positive (≥7 U/mL), n (%)</w:t>
            </w:r>
          </w:p>
        </w:tc>
        <w:tc>
          <w:tcPr>
            <w:tcW w:w="375" w:type="pct"/>
            <w:tcBorders>
              <w:top w:val="nil"/>
              <w:left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7</w:t>
            </w:r>
          </w:p>
        </w:tc>
        <w:tc>
          <w:tcPr>
            <w:tcW w:w="743" w:type="pct"/>
            <w:tcBorders>
              <w:top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(23)</w:t>
            </w:r>
          </w:p>
        </w:tc>
        <w:tc>
          <w:tcPr>
            <w:tcW w:w="467" w:type="pct"/>
            <w:tcBorders>
              <w:top w:val="nil"/>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9</w:t>
            </w:r>
          </w:p>
        </w:tc>
        <w:tc>
          <w:tcPr>
            <w:tcW w:w="759" w:type="pct"/>
            <w:tcBorders>
              <w:top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(23)</w:t>
            </w:r>
          </w:p>
        </w:tc>
      </w:tr>
      <w:tr>
        <w:trPr>
          <w:cantSplit/>
          <w:trHeight w:val="340"/>
        </w:trPr>
        <w:tc>
          <w:tcPr>
            <w:tcW w:w="2656" w:type="pct"/>
            <w:tcBorders>
              <w:top w:val="nil"/>
              <w:left w:val="nil"/>
              <w:bottom w:val="single" w:sz="6" w:space="0" w:color="auto"/>
            </w:tcBorders>
            <w:shd w:val="clear" w:color="auto" w:fill="auto"/>
            <w:noWrap/>
            <w:vAlign w:val="bottom"/>
          </w:tcPr>
          <w:p>
            <w:pPr>
              <w:pStyle w:val="KeinLeerraum"/>
              <w:rPr>
                <w:rFonts w:ascii="Times New Roman" w:hAnsi="Times New Roman" w:cs="Times New Roman"/>
                <w:sz w:val="24"/>
                <w:szCs w:val="24"/>
              </w:rPr>
            </w:pPr>
            <w:r>
              <w:rPr>
                <w:rFonts w:ascii="Times New Roman" w:hAnsi="Times New Roman" w:cs="Times New Roman"/>
                <w:sz w:val="24"/>
                <w:szCs w:val="24"/>
              </w:rPr>
              <w:t>Either RF or ACPA positive, n (%)</w:t>
            </w:r>
          </w:p>
        </w:tc>
        <w:tc>
          <w:tcPr>
            <w:tcW w:w="375" w:type="pct"/>
            <w:tcBorders>
              <w:top w:val="nil"/>
              <w:bottom w:val="single" w:sz="6" w:space="0" w:color="auto"/>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8</w:t>
            </w:r>
          </w:p>
        </w:tc>
        <w:tc>
          <w:tcPr>
            <w:tcW w:w="743" w:type="pct"/>
            <w:tcBorders>
              <w:top w:val="nil"/>
              <w:bottom w:val="single" w:sz="6"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(27)</w:t>
            </w:r>
          </w:p>
        </w:tc>
        <w:tc>
          <w:tcPr>
            <w:tcW w:w="467" w:type="pct"/>
            <w:tcBorders>
              <w:top w:val="nil"/>
              <w:bottom w:val="single" w:sz="6" w:space="0" w:color="auto"/>
            </w:tcBorders>
            <w:vAlign w:val="bottom"/>
          </w:tcPr>
          <w:p>
            <w:pPr>
              <w:pStyle w:val="KeinLeerraum"/>
              <w:jc w:val="right"/>
              <w:rPr>
                <w:rFonts w:ascii="Times New Roman" w:hAnsi="Times New Roman" w:cs="Times New Roman"/>
                <w:sz w:val="24"/>
                <w:szCs w:val="24"/>
              </w:rPr>
            </w:pPr>
            <w:r>
              <w:rPr>
                <w:rFonts w:ascii="Times New Roman" w:hAnsi="Times New Roman" w:cs="Times New Roman"/>
                <w:sz w:val="24"/>
                <w:szCs w:val="24"/>
              </w:rPr>
              <w:t>14</w:t>
            </w:r>
          </w:p>
        </w:tc>
        <w:tc>
          <w:tcPr>
            <w:tcW w:w="759" w:type="pct"/>
            <w:tcBorders>
              <w:top w:val="nil"/>
              <w:bottom w:val="single" w:sz="6"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(35)</w:t>
            </w:r>
          </w:p>
        </w:tc>
      </w:tr>
    </w:tbl>
    <w:p>
      <w:pPr>
        <w:pStyle w:val="NormalWouter"/>
        <w:spacing w:line="360" w:lineRule="auto"/>
        <w:rPr>
          <w:rFonts w:cs="Times New Roman"/>
          <w:lang w:val="en-GB"/>
        </w:rPr>
      </w:pPr>
      <w:r>
        <w:rPr>
          <w:rFonts w:cs="Times New Roman"/>
          <w:lang w:val="en-GB"/>
        </w:rPr>
        <w:t xml:space="preserve">ACPA, anti-citrullinated peptide antibody </w:t>
      </w:r>
      <w:r>
        <w:t>(anti-CCP2, EliA CCP, Phadia, the Netherlands, positive if ≥7 U/mL)</w:t>
      </w:r>
      <w:r>
        <w:rPr>
          <w:rFonts w:cs="Times New Roman"/>
          <w:lang w:val="en-GB"/>
        </w:rPr>
        <w:t xml:space="preserve">; RF, </w:t>
      </w:r>
      <w:r>
        <w:t>immunoglobulin M-rheumatoid factor (RF) (positive if ≥3.5 IU/mL)</w:t>
      </w:r>
      <w:r>
        <w:rPr>
          <w:rFonts w:cs="Times New Roman"/>
          <w:lang w:val="en-GB"/>
        </w:rPr>
        <w:t xml:space="preserve">; CRP, c-reactive protein </w:t>
      </w:r>
      <w:r>
        <w:t>(positive if ≥5mg/L);</w:t>
      </w:r>
      <w:r>
        <w:rPr>
          <w:rFonts w:cs="Times New Roman"/>
          <w:lang w:val="en-GB"/>
        </w:rPr>
        <w:t xml:space="preserve"> SD, standard deviation; IQR, Inter quartile range.</w:t>
      </w:r>
    </w:p>
    <w:p>
      <w:pPr>
        <w:rPr>
          <w:rFonts w:ascii="Times New Roman" w:eastAsia="PMingLiU" w:hAnsi="Times New Roman" w:cs="Times New Roman"/>
          <w:b/>
          <w:color w:val="000000" w:themeColor="text1"/>
          <w:sz w:val="24"/>
          <w:szCs w:val="24"/>
          <w:lang w:eastAsia="nl-NL"/>
        </w:rPr>
      </w:pPr>
      <w:r>
        <w:rPr>
          <w:rFonts w:cs="Times New Roman"/>
        </w:rPr>
        <w:br w:type="page"/>
      </w:r>
    </w:p>
    <w:p>
      <w:pPr>
        <w:pStyle w:val="Head3Wouter"/>
        <w:spacing w:before="0" w:line="480" w:lineRule="auto"/>
        <w:rPr>
          <w:rFonts w:cs="Times New Roman"/>
          <w:color w:val="auto"/>
          <w:lang w:val="en-GB"/>
        </w:rPr>
      </w:pPr>
      <w:r>
        <w:rPr>
          <w:rFonts w:cs="Times New Roman"/>
          <w:color w:val="auto"/>
          <w:lang w:val="en-GB"/>
        </w:rPr>
        <w:lastRenderedPageBreak/>
        <w:t xml:space="preserve">Table S3. </w:t>
      </w:r>
      <w:r>
        <w:rPr>
          <w:rFonts w:cs="Times New Roman"/>
          <w:b w:val="0"/>
          <w:color w:val="auto"/>
          <w:lang w:val="en-GB"/>
        </w:rPr>
        <w:t>Correlation coefficients of US versus MRI for the different locations.</w:t>
      </w:r>
    </w:p>
    <w:tbl>
      <w:tblPr>
        <w:tblW w:w="5000" w:type="pct"/>
        <w:tblCellMar>
          <w:left w:w="70" w:type="dxa"/>
          <w:right w:w="70" w:type="dxa"/>
        </w:tblCellMar>
        <w:tblLook w:val="00A0" w:firstRow="1" w:lastRow="0" w:firstColumn="1" w:lastColumn="0" w:noHBand="0" w:noVBand="0"/>
      </w:tblPr>
      <w:tblGrid>
        <w:gridCol w:w="2582"/>
        <w:gridCol w:w="1676"/>
        <w:gridCol w:w="1535"/>
        <w:gridCol w:w="1800"/>
        <w:gridCol w:w="1433"/>
      </w:tblGrid>
      <w:tr>
        <w:trPr>
          <w:trHeight w:val="594"/>
        </w:trPr>
        <w:tc>
          <w:tcPr>
            <w:tcW w:w="1430" w:type="pct"/>
            <w:tcBorders>
              <w:top w:val="single" w:sz="18" w:space="0" w:color="auto"/>
              <w:left w:val="nil"/>
              <w:bottom w:val="single" w:sz="2" w:space="0" w:color="auto"/>
              <w:right w:val="nil"/>
            </w:tcBorders>
            <w:noWrap/>
          </w:tcPr>
          <w:p>
            <w:pPr>
              <w:spacing w:after="0"/>
              <w:rPr>
                <w:rFonts w:ascii="Times New Roman" w:hAnsi="Times New Roman" w:cs="Times New Roman"/>
                <w:sz w:val="24"/>
                <w:szCs w:val="24"/>
              </w:rPr>
            </w:pPr>
          </w:p>
        </w:tc>
        <w:tc>
          <w:tcPr>
            <w:tcW w:w="1778" w:type="pct"/>
            <w:gridSpan w:val="2"/>
            <w:tcBorders>
              <w:top w:val="single" w:sz="18" w:space="0" w:color="auto"/>
              <w:left w:val="nil"/>
              <w:bottom w:val="single" w:sz="2" w:space="0" w:color="auto"/>
            </w:tcBorders>
          </w:tcPr>
          <w:p>
            <w:pPr>
              <w:spacing w:after="0"/>
              <w:rPr>
                <w:rFonts w:ascii="Times New Roman" w:hAnsi="Times New Roman" w:cs="Times New Roman"/>
                <w:b/>
                <w:sz w:val="24"/>
                <w:szCs w:val="24"/>
              </w:rPr>
            </w:pPr>
            <w:r>
              <w:rPr>
                <w:rFonts w:ascii="Times New Roman" w:hAnsi="Times New Roman" w:cs="Times New Roman"/>
                <w:b/>
                <w:sz w:val="24"/>
                <w:szCs w:val="24"/>
              </w:rPr>
              <w:t>MRI versus GSUS</w:t>
            </w:r>
          </w:p>
        </w:tc>
        <w:tc>
          <w:tcPr>
            <w:tcW w:w="1791" w:type="pct"/>
            <w:gridSpan w:val="2"/>
            <w:tcBorders>
              <w:top w:val="single" w:sz="18" w:space="0" w:color="auto"/>
              <w:left w:val="nil"/>
              <w:bottom w:val="single" w:sz="2" w:space="0" w:color="auto"/>
            </w:tcBorders>
          </w:tcPr>
          <w:p>
            <w:pPr>
              <w:spacing w:after="0"/>
              <w:rPr>
                <w:rFonts w:ascii="Times New Roman" w:hAnsi="Times New Roman" w:cs="Times New Roman"/>
                <w:b/>
                <w:sz w:val="24"/>
                <w:szCs w:val="24"/>
              </w:rPr>
            </w:pPr>
            <w:r>
              <w:rPr>
                <w:rFonts w:ascii="Times New Roman" w:hAnsi="Times New Roman" w:cs="Times New Roman"/>
                <w:b/>
                <w:sz w:val="24"/>
                <w:szCs w:val="24"/>
              </w:rPr>
              <w:t>MRI versus PDUS</w:t>
            </w:r>
          </w:p>
        </w:tc>
      </w:tr>
      <w:tr>
        <w:trPr>
          <w:trHeight w:val="340"/>
        </w:trPr>
        <w:tc>
          <w:tcPr>
            <w:tcW w:w="1430" w:type="pct"/>
            <w:tcBorders>
              <w:top w:val="single" w:sz="2" w:space="0" w:color="auto"/>
              <w:left w:val="nil"/>
              <w:bottom w:val="nil"/>
            </w:tcBorders>
            <w:noWrap/>
            <w:vAlign w:val="bottom"/>
          </w:tcPr>
          <w:p>
            <w:pPr>
              <w:pStyle w:val="KeinLeerraum"/>
              <w:rPr>
                <w:rFonts w:ascii="Times New Roman" w:hAnsi="Times New Roman" w:cs="Times New Roman"/>
                <w:i/>
                <w:sz w:val="24"/>
                <w:szCs w:val="24"/>
              </w:rPr>
            </w:pPr>
          </w:p>
        </w:tc>
        <w:tc>
          <w:tcPr>
            <w:tcW w:w="928" w:type="pct"/>
            <w:tcBorders>
              <w:top w:val="single" w:sz="2"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Spearman’s rho</w:t>
            </w:r>
          </w:p>
        </w:tc>
        <w:tc>
          <w:tcPr>
            <w:tcW w:w="850" w:type="pct"/>
            <w:tcBorders>
              <w:top w:val="single" w:sz="2"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p-value</w:t>
            </w:r>
          </w:p>
        </w:tc>
        <w:tc>
          <w:tcPr>
            <w:tcW w:w="997" w:type="pct"/>
            <w:tcBorders>
              <w:top w:val="single" w:sz="2"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Spearman’s rho</w:t>
            </w:r>
          </w:p>
        </w:tc>
        <w:tc>
          <w:tcPr>
            <w:tcW w:w="794" w:type="pct"/>
            <w:tcBorders>
              <w:top w:val="single" w:sz="2" w:space="0" w:color="auto"/>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p-value</w:t>
            </w:r>
          </w:p>
        </w:tc>
      </w:tr>
      <w:tr>
        <w:trPr>
          <w:trHeight w:val="340"/>
        </w:trPr>
        <w:tc>
          <w:tcPr>
            <w:tcW w:w="1430" w:type="pct"/>
            <w:tcBorders>
              <w:top w:val="single" w:sz="2" w:space="0" w:color="auto"/>
              <w:left w:val="nil"/>
              <w:bottom w:val="nil"/>
            </w:tcBorders>
            <w:noWrap/>
            <w:vAlign w:val="bottom"/>
          </w:tcPr>
          <w:p>
            <w:pPr>
              <w:pStyle w:val="KeinLeerraum"/>
              <w:rPr>
                <w:rFonts w:ascii="Times New Roman" w:hAnsi="Times New Roman" w:cs="Times New Roman"/>
                <w:i/>
                <w:sz w:val="24"/>
                <w:szCs w:val="24"/>
              </w:rPr>
            </w:pPr>
            <w:r>
              <w:rPr>
                <w:rFonts w:ascii="Times New Roman" w:hAnsi="Times New Roman" w:cs="Times New Roman"/>
                <w:i/>
                <w:sz w:val="24"/>
                <w:szCs w:val="24"/>
              </w:rPr>
              <w:t>Synovitis</w:t>
            </w:r>
          </w:p>
        </w:tc>
        <w:tc>
          <w:tcPr>
            <w:tcW w:w="928" w:type="pct"/>
            <w:tcBorders>
              <w:top w:val="single" w:sz="2" w:space="0" w:color="auto"/>
            </w:tcBorders>
            <w:vAlign w:val="bottom"/>
          </w:tcPr>
          <w:p>
            <w:pPr>
              <w:pStyle w:val="KeinLeerraum"/>
              <w:rPr>
                <w:rFonts w:ascii="Times New Roman" w:hAnsi="Times New Roman" w:cs="Times New Roman"/>
                <w:sz w:val="24"/>
                <w:szCs w:val="24"/>
              </w:rPr>
            </w:pPr>
          </w:p>
        </w:tc>
        <w:tc>
          <w:tcPr>
            <w:tcW w:w="850" w:type="pct"/>
            <w:tcBorders>
              <w:top w:val="single" w:sz="2" w:space="0" w:color="auto"/>
            </w:tcBorders>
            <w:vAlign w:val="bottom"/>
          </w:tcPr>
          <w:p>
            <w:pPr>
              <w:pStyle w:val="KeinLeerraum"/>
              <w:rPr>
                <w:rFonts w:ascii="Times New Roman" w:hAnsi="Times New Roman" w:cs="Times New Roman"/>
                <w:sz w:val="24"/>
                <w:szCs w:val="24"/>
              </w:rPr>
            </w:pPr>
          </w:p>
        </w:tc>
        <w:tc>
          <w:tcPr>
            <w:tcW w:w="997" w:type="pct"/>
            <w:tcBorders>
              <w:top w:val="single" w:sz="2" w:space="0" w:color="auto"/>
            </w:tcBorders>
            <w:vAlign w:val="bottom"/>
          </w:tcPr>
          <w:p>
            <w:pPr>
              <w:pStyle w:val="KeinLeerraum"/>
              <w:rPr>
                <w:rFonts w:ascii="Times New Roman" w:hAnsi="Times New Roman" w:cs="Times New Roman"/>
                <w:sz w:val="24"/>
                <w:szCs w:val="24"/>
              </w:rPr>
            </w:pPr>
          </w:p>
        </w:tc>
        <w:tc>
          <w:tcPr>
            <w:tcW w:w="794" w:type="pct"/>
            <w:tcBorders>
              <w:top w:val="single" w:sz="2" w:space="0" w:color="auto"/>
            </w:tcBorders>
            <w:vAlign w:val="bottom"/>
          </w:tcPr>
          <w:p>
            <w:pPr>
              <w:pStyle w:val="KeinLeerraum"/>
              <w:rPr>
                <w:rFonts w:ascii="Times New Roman" w:hAnsi="Times New Roman" w:cs="Times New Roman"/>
                <w:sz w:val="24"/>
                <w:szCs w:val="24"/>
              </w:rPr>
            </w:pPr>
          </w:p>
        </w:tc>
      </w:tr>
      <w:tr>
        <w:trPr>
          <w:trHeight w:val="340"/>
        </w:trPr>
        <w:tc>
          <w:tcPr>
            <w:tcW w:w="1430"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MCP joints</w:t>
            </w:r>
          </w:p>
        </w:tc>
        <w:tc>
          <w:tcPr>
            <w:tcW w:w="928" w:type="pct"/>
            <w:tcBorders>
              <w:top w:val="nil"/>
              <w:left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0.57</w:t>
            </w:r>
          </w:p>
        </w:tc>
        <w:tc>
          <w:tcPr>
            <w:tcW w:w="850"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c>
          <w:tcPr>
            <w:tcW w:w="997"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0.64</w:t>
            </w:r>
          </w:p>
        </w:tc>
        <w:tc>
          <w:tcPr>
            <w:tcW w:w="794"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r>
      <w:tr>
        <w:trPr>
          <w:trHeight w:val="340"/>
        </w:trPr>
        <w:tc>
          <w:tcPr>
            <w:tcW w:w="1430"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MTP joints</w:t>
            </w:r>
          </w:p>
        </w:tc>
        <w:tc>
          <w:tcPr>
            <w:tcW w:w="928" w:type="pct"/>
            <w:tcBorders>
              <w:top w:val="nil"/>
              <w:left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0.43</w:t>
            </w:r>
          </w:p>
        </w:tc>
        <w:tc>
          <w:tcPr>
            <w:tcW w:w="850"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c>
          <w:tcPr>
            <w:tcW w:w="997"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0.53</w:t>
            </w:r>
          </w:p>
        </w:tc>
        <w:tc>
          <w:tcPr>
            <w:tcW w:w="794"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r>
      <w:tr>
        <w:trPr>
          <w:trHeight w:val="340"/>
        </w:trPr>
        <w:tc>
          <w:tcPr>
            <w:tcW w:w="1430"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Wrist joints</w:t>
            </w:r>
          </w:p>
        </w:tc>
        <w:tc>
          <w:tcPr>
            <w:tcW w:w="928" w:type="pct"/>
            <w:tcBorders>
              <w:top w:val="nil"/>
              <w:left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0.22</w:t>
            </w:r>
          </w:p>
        </w:tc>
        <w:tc>
          <w:tcPr>
            <w:tcW w:w="850"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0.002</w:t>
            </w:r>
          </w:p>
        </w:tc>
        <w:tc>
          <w:tcPr>
            <w:tcW w:w="997"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0.40</w:t>
            </w:r>
          </w:p>
        </w:tc>
        <w:tc>
          <w:tcPr>
            <w:tcW w:w="794"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r>
      <w:tr>
        <w:trPr>
          <w:cantSplit/>
          <w:trHeight w:val="340"/>
        </w:trPr>
        <w:tc>
          <w:tcPr>
            <w:tcW w:w="1430" w:type="pct"/>
            <w:tcBorders>
              <w:top w:val="nil"/>
              <w:left w:val="nil"/>
              <w:right w:val="nil"/>
            </w:tcBorders>
            <w:noWrap/>
            <w:vAlign w:val="bottom"/>
          </w:tcPr>
          <w:p>
            <w:pPr>
              <w:pStyle w:val="KeinLeerraum"/>
              <w:rPr>
                <w:rFonts w:ascii="Times New Roman" w:hAnsi="Times New Roman" w:cs="Times New Roman"/>
                <w:sz w:val="24"/>
                <w:szCs w:val="24"/>
              </w:rPr>
            </w:pPr>
          </w:p>
        </w:tc>
        <w:tc>
          <w:tcPr>
            <w:tcW w:w="928" w:type="pct"/>
            <w:tcBorders>
              <w:top w:val="nil"/>
              <w:left w:val="nil"/>
            </w:tcBorders>
            <w:vAlign w:val="bottom"/>
          </w:tcPr>
          <w:p>
            <w:pPr>
              <w:pStyle w:val="KeinLeerraum"/>
              <w:rPr>
                <w:rFonts w:ascii="Times New Roman" w:hAnsi="Times New Roman" w:cs="Times New Roman"/>
                <w:sz w:val="24"/>
                <w:szCs w:val="24"/>
              </w:rPr>
            </w:pPr>
          </w:p>
        </w:tc>
        <w:tc>
          <w:tcPr>
            <w:tcW w:w="850" w:type="pct"/>
            <w:tcBorders>
              <w:top w:val="nil"/>
            </w:tcBorders>
            <w:vAlign w:val="bottom"/>
          </w:tcPr>
          <w:p>
            <w:pPr>
              <w:pStyle w:val="KeinLeerraum"/>
              <w:rPr>
                <w:rFonts w:ascii="Times New Roman" w:hAnsi="Times New Roman" w:cs="Times New Roman"/>
                <w:sz w:val="24"/>
                <w:szCs w:val="24"/>
              </w:rPr>
            </w:pPr>
          </w:p>
        </w:tc>
        <w:tc>
          <w:tcPr>
            <w:tcW w:w="997" w:type="pct"/>
            <w:tcBorders>
              <w:top w:val="nil"/>
            </w:tcBorders>
            <w:vAlign w:val="bottom"/>
          </w:tcPr>
          <w:p>
            <w:pPr>
              <w:pStyle w:val="KeinLeerraum"/>
              <w:rPr>
                <w:rFonts w:ascii="Times New Roman" w:hAnsi="Times New Roman" w:cs="Times New Roman"/>
                <w:sz w:val="24"/>
                <w:szCs w:val="24"/>
              </w:rPr>
            </w:pPr>
          </w:p>
        </w:tc>
        <w:tc>
          <w:tcPr>
            <w:tcW w:w="794" w:type="pct"/>
            <w:tcBorders>
              <w:top w:val="nil"/>
            </w:tcBorders>
            <w:vAlign w:val="bottom"/>
          </w:tcPr>
          <w:p>
            <w:pPr>
              <w:pStyle w:val="KeinLeerraum"/>
              <w:rPr>
                <w:rFonts w:ascii="Times New Roman" w:hAnsi="Times New Roman" w:cs="Times New Roman"/>
                <w:sz w:val="24"/>
                <w:szCs w:val="24"/>
              </w:rPr>
            </w:pPr>
          </w:p>
        </w:tc>
      </w:tr>
      <w:tr>
        <w:trPr>
          <w:cantSplit/>
          <w:trHeight w:val="340"/>
        </w:trPr>
        <w:tc>
          <w:tcPr>
            <w:tcW w:w="1430" w:type="pct"/>
            <w:tcBorders>
              <w:top w:val="nil"/>
              <w:left w:val="nil"/>
              <w:right w:val="nil"/>
            </w:tcBorders>
            <w:noWrap/>
            <w:vAlign w:val="bottom"/>
          </w:tcPr>
          <w:p>
            <w:pPr>
              <w:pStyle w:val="KeinLeerraum"/>
              <w:rPr>
                <w:rFonts w:ascii="Times New Roman" w:hAnsi="Times New Roman" w:cs="Times New Roman"/>
                <w:i/>
                <w:sz w:val="24"/>
                <w:szCs w:val="24"/>
              </w:rPr>
            </w:pPr>
            <w:r>
              <w:rPr>
                <w:rFonts w:ascii="Times New Roman" w:hAnsi="Times New Roman" w:cs="Times New Roman"/>
                <w:i/>
                <w:sz w:val="24"/>
                <w:szCs w:val="24"/>
              </w:rPr>
              <w:t>Tenosynovitis</w:t>
            </w:r>
          </w:p>
        </w:tc>
        <w:tc>
          <w:tcPr>
            <w:tcW w:w="928" w:type="pct"/>
            <w:tcBorders>
              <w:top w:val="nil"/>
              <w:left w:val="nil"/>
            </w:tcBorders>
            <w:vAlign w:val="bottom"/>
          </w:tcPr>
          <w:p>
            <w:pPr>
              <w:pStyle w:val="KeinLeerraum"/>
              <w:rPr>
                <w:rFonts w:ascii="Times New Roman" w:hAnsi="Times New Roman" w:cs="Times New Roman"/>
                <w:sz w:val="24"/>
                <w:szCs w:val="24"/>
              </w:rPr>
            </w:pPr>
          </w:p>
        </w:tc>
        <w:tc>
          <w:tcPr>
            <w:tcW w:w="850" w:type="pct"/>
            <w:tcBorders>
              <w:top w:val="nil"/>
            </w:tcBorders>
            <w:vAlign w:val="bottom"/>
          </w:tcPr>
          <w:p>
            <w:pPr>
              <w:pStyle w:val="KeinLeerraum"/>
              <w:rPr>
                <w:rFonts w:ascii="Times New Roman" w:hAnsi="Times New Roman" w:cs="Times New Roman"/>
                <w:sz w:val="24"/>
                <w:szCs w:val="24"/>
              </w:rPr>
            </w:pPr>
          </w:p>
        </w:tc>
        <w:tc>
          <w:tcPr>
            <w:tcW w:w="997" w:type="pct"/>
            <w:tcBorders>
              <w:top w:val="nil"/>
            </w:tcBorders>
            <w:vAlign w:val="bottom"/>
          </w:tcPr>
          <w:p>
            <w:pPr>
              <w:pStyle w:val="KeinLeerraum"/>
              <w:rPr>
                <w:rFonts w:ascii="Times New Roman" w:hAnsi="Times New Roman" w:cs="Times New Roman"/>
                <w:sz w:val="24"/>
                <w:szCs w:val="24"/>
              </w:rPr>
            </w:pPr>
          </w:p>
        </w:tc>
        <w:tc>
          <w:tcPr>
            <w:tcW w:w="794" w:type="pct"/>
            <w:tcBorders>
              <w:top w:val="nil"/>
            </w:tcBorders>
            <w:vAlign w:val="bottom"/>
          </w:tcPr>
          <w:p>
            <w:pPr>
              <w:pStyle w:val="KeinLeerraum"/>
              <w:rPr>
                <w:rFonts w:ascii="Times New Roman" w:hAnsi="Times New Roman" w:cs="Times New Roman"/>
                <w:sz w:val="24"/>
                <w:szCs w:val="24"/>
              </w:rPr>
            </w:pPr>
          </w:p>
        </w:tc>
      </w:tr>
      <w:tr>
        <w:trPr>
          <w:trHeight w:val="340"/>
        </w:trPr>
        <w:tc>
          <w:tcPr>
            <w:tcW w:w="1430"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Flexor MCP tendons</w:t>
            </w:r>
          </w:p>
        </w:tc>
        <w:tc>
          <w:tcPr>
            <w:tcW w:w="928" w:type="pct"/>
            <w:tcBorders>
              <w:top w:val="nil"/>
              <w:left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0.62</w:t>
            </w:r>
          </w:p>
        </w:tc>
        <w:tc>
          <w:tcPr>
            <w:tcW w:w="850"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c>
          <w:tcPr>
            <w:tcW w:w="997"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0.43</w:t>
            </w:r>
          </w:p>
        </w:tc>
        <w:tc>
          <w:tcPr>
            <w:tcW w:w="794"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r>
      <w:tr>
        <w:trPr>
          <w:trHeight w:val="340"/>
        </w:trPr>
        <w:tc>
          <w:tcPr>
            <w:tcW w:w="1430" w:type="pct"/>
            <w:tcBorders>
              <w:top w:val="nil"/>
              <w:left w:val="nil"/>
              <w:bottom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Flexor Wrist tendons</w:t>
            </w:r>
          </w:p>
        </w:tc>
        <w:tc>
          <w:tcPr>
            <w:tcW w:w="928" w:type="pct"/>
            <w:tcBorders>
              <w:top w:val="nil"/>
              <w:left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0.46</w:t>
            </w:r>
          </w:p>
        </w:tc>
        <w:tc>
          <w:tcPr>
            <w:tcW w:w="850"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c>
          <w:tcPr>
            <w:tcW w:w="997"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0.59</w:t>
            </w:r>
          </w:p>
        </w:tc>
        <w:tc>
          <w:tcPr>
            <w:tcW w:w="794" w:type="pct"/>
            <w:tcBorders>
              <w:top w:val="nil"/>
              <w:bottom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r>
      <w:tr>
        <w:trPr>
          <w:trHeight w:val="340"/>
        </w:trPr>
        <w:tc>
          <w:tcPr>
            <w:tcW w:w="1430" w:type="pct"/>
            <w:tcBorders>
              <w:top w:val="nil"/>
              <w:left w:val="nil"/>
              <w:righ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Extensor Wrist tendons</w:t>
            </w:r>
          </w:p>
        </w:tc>
        <w:tc>
          <w:tcPr>
            <w:tcW w:w="928" w:type="pct"/>
            <w:tcBorders>
              <w:top w:val="nil"/>
              <w:left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0.54</w:t>
            </w:r>
          </w:p>
        </w:tc>
        <w:tc>
          <w:tcPr>
            <w:tcW w:w="850" w:type="pct"/>
            <w:tcBorders>
              <w:top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c>
          <w:tcPr>
            <w:tcW w:w="997" w:type="pct"/>
            <w:tcBorders>
              <w:top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0.70</w:t>
            </w:r>
          </w:p>
        </w:tc>
        <w:tc>
          <w:tcPr>
            <w:tcW w:w="794" w:type="pct"/>
            <w:tcBorders>
              <w:top w:val="nil"/>
            </w:tcBorders>
            <w:vAlign w:val="bottom"/>
          </w:tcPr>
          <w:p>
            <w:pPr>
              <w:pStyle w:val="KeinLeerraum"/>
              <w:rPr>
                <w:rFonts w:ascii="Times New Roman" w:hAnsi="Times New Roman" w:cs="Times New Roman"/>
                <w:sz w:val="24"/>
                <w:szCs w:val="24"/>
              </w:rPr>
            </w:pPr>
            <w:r>
              <w:rPr>
                <w:rFonts w:ascii="Times New Roman" w:hAnsi="Times New Roman" w:cs="Times New Roman"/>
                <w:sz w:val="24"/>
                <w:szCs w:val="24"/>
              </w:rPr>
              <w:t>&lt;0.001</w:t>
            </w:r>
          </w:p>
        </w:tc>
      </w:tr>
      <w:tr>
        <w:trPr>
          <w:cantSplit/>
          <w:trHeight w:val="340"/>
        </w:trPr>
        <w:tc>
          <w:tcPr>
            <w:tcW w:w="1430" w:type="pct"/>
            <w:tcBorders>
              <w:top w:val="nil"/>
              <w:left w:val="nil"/>
              <w:bottom w:val="single" w:sz="6" w:space="0" w:color="auto"/>
            </w:tcBorders>
            <w:shd w:val="clear" w:color="auto" w:fill="auto"/>
            <w:noWrap/>
            <w:vAlign w:val="bottom"/>
          </w:tcPr>
          <w:p>
            <w:pPr>
              <w:pStyle w:val="KeinLeerraum"/>
              <w:rPr>
                <w:rFonts w:ascii="Times New Roman" w:hAnsi="Times New Roman" w:cs="Times New Roman"/>
                <w:sz w:val="24"/>
                <w:szCs w:val="24"/>
              </w:rPr>
            </w:pPr>
          </w:p>
        </w:tc>
        <w:tc>
          <w:tcPr>
            <w:tcW w:w="928" w:type="pct"/>
            <w:tcBorders>
              <w:top w:val="nil"/>
              <w:bottom w:val="single" w:sz="6" w:space="0" w:color="auto"/>
            </w:tcBorders>
            <w:vAlign w:val="bottom"/>
          </w:tcPr>
          <w:p>
            <w:pPr>
              <w:pStyle w:val="KeinLeerraum"/>
              <w:rPr>
                <w:rFonts w:ascii="Times New Roman" w:hAnsi="Times New Roman" w:cs="Times New Roman"/>
                <w:b/>
                <w:sz w:val="24"/>
                <w:szCs w:val="24"/>
              </w:rPr>
            </w:pPr>
          </w:p>
        </w:tc>
        <w:tc>
          <w:tcPr>
            <w:tcW w:w="850" w:type="pct"/>
            <w:tcBorders>
              <w:top w:val="nil"/>
              <w:bottom w:val="single" w:sz="6" w:space="0" w:color="auto"/>
            </w:tcBorders>
            <w:vAlign w:val="bottom"/>
          </w:tcPr>
          <w:p>
            <w:pPr>
              <w:pStyle w:val="KeinLeerraum"/>
              <w:rPr>
                <w:rFonts w:ascii="Times New Roman" w:hAnsi="Times New Roman" w:cs="Times New Roman"/>
                <w:sz w:val="24"/>
                <w:szCs w:val="24"/>
              </w:rPr>
            </w:pPr>
          </w:p>
        </w:tc>
        <w:tc>
          <w:tcPr>
            <w:tcW w:w="997" w:type="pct"/>
            <w:tcBorders>
              <w:top w:val="nil"/>
              <w:bottom w:val="single" w:sz="6" w:space="0" w:color="auto"/>
            </w:tcBorders>
            <w:vAlign w:val="bottom"/>
          </w:tcPr>
          <w:p>
            <w:pPr>
              <w:pStyle w:val="KeinLeerraum"/>
              <w:rPr>
                <w:rFonts w:ascii="Times New Roman" w:hAnsi="Times New Roman" w:cs="Times New Roman"/>
                <w:sz w:val="24"/>
                <w:szCs w:val="24"/>
              </w:rPr>
            </w:pPr>
          </w:p>
        </w:tc>
        <w:tc>
          <w:tcPr>
            <w:tcW w:w="794" w:type="pct"/>
            <w:tcBorders>
              <w:top w:val="nil"/>
              <w:bottom w:val="single" w:sz="6" w:space="0" w:color="auto"/>
            </w:tcBorders>
            <w:vAlign w:val="bottom"/>
          </w:tcPr>
          <w:p>
            <w:pPr>
              <w:pStyle w:val="KeinLeerraum"/>
              <w:rPr>
                <w:rFonts w:ascii="Times New Roman" w:hAnsi="Times New Roman" w:cs="Times New Roman"/>
                <w:sz w:val="24"/>
                <w:szCs w:val="24"/>
              </w:rPr>
            </w:pPr>
          </w:p>
        </w:tc>
      </w:tr>
    </w:tbl>
    <w:p>
      <w:pPr>
        <w:rPr>
          <w:rFonts w:ascii="Times New Roman" w:eastAsia="PMingLiU" w:hAnsi="Times New Roman" w:cs="Times New Roman"/>
          <w:b/>
          <w:color w:val="000000" w:themeColor="text1"/>
          <w:sz w:val="24"/>
          <w:szCs w:val="24"/>
          <w:lang w:eastAsia="nl-NL"/>
        </w:rPr>
      </w:pPr>
      <w:r>
        <w:rPr>
          <w:rFonts w:ascii="Times New Roman" w:hAnsi="Times New Roman" w:cs="Times New Roman"/>
          <w:sz w:val="24"/>
          <w:szCs w:val="24"/>
        </w:rPr>
        <w:t>Correlation coefficients of two different semi-quantitative scoring methods. Obtained values are therefore not representative of the exact concordance as scores of US and MRI have different requirements. GSUS-synovitis is according to EULAR-OMERACT definition.</w:t>
      </w:r>
      <w:r>
        <w:rPr>
          <w:rFonts w:ascii="Times New Roman" w:eastAsia="PMingLiU" w:hAnsi="Times New Roman" w:cs="Times New Roman"/>
          <w:b/>
          <w:color w:val="000000" w:themeColor="text1"/>
          <w:sz w:val="24"/>
          <w:szCs w:val="24"/>
          <w:lang w:eastAsia="nl-NL"/>
        </w:rPr>
        <w:br w:type="page"/>
      </w:r>
    </w:p>
    <w:p>
      <w:pPr>
        <w:pStyle w:val="Head3Wouter"/>
        <w:spacing w:before="0" w:line="480" w:lineRule="auto"/>
        <w:rPr>
          <w:rFonts w:cs="Times New Roman"/>
          <w:b w:val="0"/>
          <w:i/>
        </w:rPr>
      </w:pPr>
      <w:bookmarkStart w:id="3" w:name="_Hlk532894201"/>
      <w:r>
        <w:rPr>
          <w:rFonts w:cs="Times New Roman"/>
        </w:rPr>
        <w:lastRenderedPageBreak/>
        <w:t xml:space="preserve">Table S4. </w:t>
      </w:r>
      <w:r>
        <w:rPr>
          <w:rFonts w:cs="Times New Roman"/>
          <w:b w:val="0"/>
        </w:rPr>
        <w:t xml:space="preserve">Test characteristics for ultrasound-detected synovitis and tenosynovitis with MRI as reference, cut-off for positivity for MRI based on healthy controls. </w:t>
      </w:r>
    </w:p>
    <w:tbl>
      <w:tblPr>
        <w:tblW w:w="5000" w:type="pct"/>
        <w:tblCellMar>
          <w:left w:w="70" w:type="dxa"/>
          <w:right w:w="70" w:type="dxa"/>
        </w:tblCellMar>
        <w:tblLook w:val="00A0" w:firstRow="1" w:lastRow="0" w:firstColumn="1" w:lastColumn="0" w:noHBand="0" w:noVBand="0"/>
      </w:tblPr>
      <w:tblGrid>
        <w:gridCol w:w="2253"/>
        <w:gridCol w:w="1336"/>
        <w:gridCol w:w="1211"/>
        <w:gridCol w:w="842"/>
        <w:gridCol w:w="1335"/>
        <w:gridCol w:w="1207"/>
        <w:gridCol w:w="842"/>
      </w:tblGrid>
      <w:tr>
        <w:trPr>
          <w:trHeight w:val="278"/>
        </w:trPr>
        <w:tc>
          <w:tcPr>
            <w:tcW w:w="1258" w:type="pct"/>
            <w:tcBorders>
              <w:top w:val="single" w:sz="18" w:space="0" w:color="auto"/>
              <w:left w:val="nil"/>
              <w:bottom w:val="single" w:sz="4" w:space="0" w:color="auto"/>
              <w:right w:val="nil"/>
            </w:tcBorders>
          </w:tcPr>
          <w:p>
            <w:pPr>
              <w:spacing w:afterLines="26" w:after="62" w:line="360" w:lineRule="auto"/>
              <w:rPr>
                <w:rFonts w:ascii="Times New Roman" w:hAnsi="Times New Roman"/>
                <w:b/>
                <w:sz w:val="24"/>
                <w:szCs w:val="24"/>
                <w:lang w:val="en-US"/>
              </w:rPr>
            </w:pPr>
          </w:p>
        </w:tc>
        <w:tc>
          <w:tcPr>
            <w:tcW w:w="750" w:type="pct"/>
            <w:tcBorders>
              <w:top w:val="single" w:sz="18" w:space="0" w:color="auto"/>
              <w:left w:val="nil"/>
              <w:bottom w:val="single" w:sz="4" w:space="0" w:color="auto"/>
              <w:right w:val="nil"/>
            </w:tcBorders>
            <w:noWrap/>
            <w:vAlign w:val="center"/>
          </w:tcPr>
          <w:p>
            <w:pPr>
              <w:spacing w:afterLines="26" w:after="62" w:line="360" w:lineRule="auto"/>
              <w:rPr>
                <w:rFonts w:ascii="Times New Roman" w:hAnsi="Times New Roman"/>
                <w:b/>
                <w:sz w:val="24"/>
                <w:szCs w:val="24"/>
                <w:lang w:val="en-US"/>
              </w:rPr>
            </w:pPr>
            <w:r>
              <w:rPr>
                <w:rFonts w:ascii="Times New Roman" w:hAnsi="Times New Roman"/>
                <w:b/>
                <w:sz w:val="24"/>
                <w:szCs w:val="24"/>
                <w:lang w:val="en-US"/>
              </w:rPr>
              <w:t>Sensitivity</w:t>
            </w:r>
          </w:p>
        </w:tc>
        <w:tc>
          <w:tcPr>
            <w:tcW w:w="680" w:type="pct"/>
            <w:tcBorders>
              <w:top w:val="single" w:sz="18" w:space="0" w:color="auto"/>
              <w:left w:val="nil"/>
              <w:bottom w:val="single" w:sz="4" w:space="0" w:color="auto"/>
              <w:right w:val="nil"/>
            </w:tcBorders>
            <w:noWrap/>
            <w:vAlign w:val="center"/>
          </w:tcPr>
          <w:p>
            <w:pPr>
              <w:spacing w:afterLines="26" w:after="62" w:line="360" w:lineRule="auto"/>
              <w:rPr>
                <w:rFonts w:ascii="Times New Roman" w:hAnsi="Times New Roman"/>
                <w:b/>
                <w:sz w:val="24"/>
                <w:szCs w:val="24"/>
                <w:lang w:val="en-US"/>
              </w:rPr>
            </w:pPr>
            <w:r>
              <w:rPr>
                <w:rFonts w:ascii="Times New Roman" w:hAnsi="Times New Roman"/>
                <w:b/>
                <w:sz w:val="24"/>
                <w:szCs w:val="24"/>
                <w:lang w:val="en-US"/>
              </w:rPr>
              <w:t>Specificity</w:t>
            </w:r>
          </w:p>
        </w:tc>
        <w:tc>
          <w:tcPr>
            <w:tcW w:w="476" w:type="pct"/>
            <w:tcBorders>
              <w:top w:val="single" w:sz="18" w:space="0" w:color="auto"/>
              <w:left w:val="nil"/>
              <w:bottom w:val="single" w:sz="2" w:space="0" w:color="auto"/>
              <w:right w:val="nil"/>
            </w:tcBorders>
            <w:noWrap/>
            <w:vAlign w:val="center"/>
          </w:tcPr>
          <w:p>
            <w:pPr>
              <w:spacing w:afterLines="26" w:after="62" w:line="360" w:lineRule="auto"/>
              <w:rPr>
                <w:rFonts w:ascii="Times New Roman" w:hAnsi="Times New Roman"/>
                <w:b/>
                <w:sz w:val="24"/>
                <w:szCs w:val="24"/>
                <w:lang w:val="en-US"/>
              </w:rPr>
            </w:pPr>
            <w:r>
              <w:rPr>
                <w:rFonts w:ascii="Times New Roman" w:hAnsi="Times New Roman"/>
                <w:b/>
                <w:sz w:val="24"/>
                <w:szCs w:val="24"/>
                <w:lang w:val="en-US"/>
              </w:rPr>
              <w:t xml:space="preserve">AUC </w:t>
            </w:r>
          </w:p>
        </w:tc>
        <w:tc>
          <w:tcPr>
            <w:tcW w:w="749" w:type="pct"/>
            <w:tcBorders>
              <w:top w:val="single" w:sz="18" w:space="0" w:color="auto"/>
              <w:left w:val="nil"/>
              <w:bottom w:val="single" w:sz="2" w:space="0" w:color="auto"/>
              <w:right w:val="nil"/>
            </w:tcBorders>
            <w:vAlign w:val="center"/>
          </w:tcPr>
          <w:p>
            <w:pPr>
              <w:spacing w:afterLines="26" w:after="62" w:line="360" w:lineRule="auto"/>
              <w:rPr>
                <w:rFonts w:ascii="Times New Roman" w:hAnsi="Times New Roman"/>
                <w:b/>
                <w:sz w:val="24"/>
                <w:szCs w:val="24"/>
                <w:lang w:val="en-US"/>
              </w:rPr>
            </w:pPr>
            <w:r>
              <w:rPr>
                <w:rFonts w:ascii="Times New Roman" w:hAnsi="Times New Roman"/>
                <w:b/>
                <w:sz w:val="24"/>
                <w:szCs w:val="24"/>
                <w:lang w:val="en-US"/>
              </w:rPr>
              <w:t>Sensitivity</w:t>
            </w:r>
          </w:p>
        </w:tc>
        <w:tc>
          <w:tcPr>
            <w:tcW w:w="611" w:type="pct"/>
            <w:tcBorders>
              <w:top w:val="single" w:sz="18" w:space="0" w:color="auto"/>
              <w:left w:val="nil"/>
              <w:bottom w:val="single" w:sz="2" w:space="0" w:color="auto"/>
              <w:right w:val="nil"/>
            </w:tcBorders>
            <w:vAlign w:val="center"/>
          </w:tcPr>
          <w:p>
            <w:pPr>
              <w:spacing w:afterLines="26" w:after="62" w:line="360" w:lineRule="auto"/>
              <w:rPr>
                <w:rFonts w:ascii="Times New Roman" w:hAnsi="Times New Roman"/>
                <w:b/>
                <w:sz w:val="24"/>
                <w:szCs w:val="24"/>
                <w:lang w:val="en-US"/>
              </w:rPr>
            </w:pPr>
            <w:r>
              <w:rPr>
                <w:rFonts w:ascii="Times New Roman" w:hAnsi="Times New Roman"/>
                <w:b/>
                <w:sz w:val="24"/>
                <w:szCs w:val="24"/>
                <w:lang w:val="en-US"/>
              </w:rPr>
              <w:t>Specificity</w:t>
            </w:r>
          </w:p>
        </w:tc>
        <w:tc>
          <w:tcPr>
            <w:tcW w:w="476" w:type="pct"/>
            <w:tcBorders>
              <w:top w:val="single" w:sz="18" w:space="0" w:color="auto"/>
              <w:left w:val="nil"/>
              <w:bottom w:val="single" w:sz="2" w:space="0" w:color="auto"/>
              <w:right w:val="nil"/>
            </w:tcBorders>
            <w:vAlign w:val="center"/>
          </w:tcPr>
          <w:p>
            <w:pPr>
              <w:spacing w:afterLines="26" w:after="62" w:line="360" w:lineRule="auto"/>
              <w:rPr>
                <w:rFonts w:ascii="Times New Roman" w:hAnsi="Times New Roman"/>
                <w:b/>
                <w:sz w:val="24"/>
                <w:szCs w:val="24"/>
                <w:lang w:val="en-US"/>
              </w:rPr>
            </w:pPr>
            <w:r>
              <w:rPr>
                <w:rFonts w:ascii="Times New Roman" w:hAnsi="Times New Roman"/>
                <w:b/>
                <w:sz w:val="24"/>
                <w:szCs w:val="24"/>
                <w:lang w:val="en-US"/>
              </w:rPr>
              <w:t xml:space="preserve">AUC </w:t>
            </w:r>
          </w:p>
        </w:tc>
      </w:tr>
      <w:tr>
        <w:trPr>
          <w:trHeight w:val="336"/>
        </w:trPr>
        <w:tc>
          <w:tcPr>
            <w:tcW w:w="1258" w:type="pct"/>
            <w:tcBorders>
              <w:top w:val="single" w:sz="4" w:space="0" w:color="auto"/>
              <w:left w:val="nil"/>
            </w:tcBorders>
          </w:tcPr>
          <w:p>
            <w:pPr>
              <w:spacing w:afterLines="26" w:after="62" w:line="360" w:lineRule="auto"/>
              <w:rPr>
                <w:rFonts w:ascii="Times New Roman" w:hAnsi="Times New Roman"/>
                <w:i/>
                <w:sz w:val="24"/>
                <w:szCs w:val="24"/>
                <w:lang w:val="en-US"/>
              </w:rPr>
            </w:pPr>
            <w:r>
              <w:rPr>
                <w:rFonts w:ascii="Times New Roman" w:hAnsi="Times New Roman"/>
                <w:i/>
                <w:sz w:val="24"/>
                <w:szCs w:val="24"/>
                <w:lang w:val="en-US"/>
              </w:rPr>
              <w:t xml:space="preserve">Synovitis </w:t>
            </w:r>
          </w:p>
        </w:tc>
        <w:tc>
          <w:tcPr>
            <w:tcW w:w="1906" w:type="pct"/>
            <w:gridSpan w:val="3"/>
            <w:tcBorders>
              <w:top w:val="single" w:sz="4" w:space="0" w:color="auto"/>
              <w:right w:val="nil"/>
            </w:tcBorders>
          </w:tcPr>
          <w:p>
            <w:pPr>
              <w:spacing w:afterLines="26" w:after="62" w:line="360" w:lineRule="auto"/>
              <w:rPr>
                <w:rFonts w:ascii="Times New Roman" w:hAnsi="Times New Roman"/>
                <w:i/>
                <w:sz w:val="24"/>
                <w:szCs w:val="24"/>
                <w:lang w:val="en-US"/>
              </w:rPr>
            </w:pPr>
            <w:r>
              <w:rPr>
                <w:rFonts w:ascii="Times New Roman" w:hAnsi="Times New Roman"/>
                <w:i/>
                <w:sz w:val="24"/>
                <w:szCs w:val="24"/>
                <w:lang w:val="en-US"/>
              </w:rPr>
              <w:t>GS ≥1 (EULAR-OMERACT)</w:t>
            </w:r>
          </w:p>
        </w:tc>
        <w:tc>
          <w:tcPr>
            <w:tcW w:w="1836" w:type="pct"/>
            <w:gridSpan w:val="3"/>
            <w:tcBorders>
              <w:top w:val="nil"/>
              <w:left w:val="nil"/>
              <w:bottom w:val="nil"/>
              <w:right w:val="nil"/>
            </w:tcBorders>
          </w:tcPr>
          <w:p>
            <w:pPr>
              <w:spacing w:afterLines="26" w:after="62" w:line="360" w:lineRule="auto"/>
              <w:rPr>
                <w:rFonts w:ascii="Times New Roman" w:hAnsi="Times New Roman"/>
                <w:i/>
                <w:sz w:val="24"/>
                <w:szCs w:val="24"/>
                <w:lang w:val="en-US"/>
              </w:rPr>
            </w:pPr>
            <w:r>
              <w:rPr>
                <w:rFonts w:ascii="Times New Roman" w:hAnsi="Times New Roman"/>
                <w:i/>
                <w:sz w:val="24"/>
                <w:szCs w:val="24"/>
                <w:lang w:val="en-US"/>
              </w:rPr>
              <w:t>PD ≥1</w:t>
            </w:r>
          </w:p>
        </w:tc>
      </w:tr>
      <w:tr>
        <w:trPr>
          <w:trHeight w:val="278"/>
        </w:trPr>
        <w:tc>
          <w:tcPr>
            <w:tcW w:w="1258" w:type="pct"/>
            <w:tcBorders>
              <w:left w:val="nil"/>
            </w:tcBorders>
          </w:tcPr>
          <w:p>
            <w:pPr>
              <w:spacing w:afterLines="26" w:after="62" w:line="360" w:lineRule="auto"/>
              <w:rPr>
                <w:rFonts w:ascii="Times New Roman" w:hAnsi="Times New Roman"/>
                <w:sz w:val="24"/>
                <w:szCs w:val="24"/>
                <w:lang w:val="en-US"/>
              </w:rPr>
            </w:pPr>
            <w:r>
              <w:rPr>
                <w:rFonts w:ascii="Times New Roman" w:hAnsi="Times New Roman"/>
                <w:sz w:val="24"/>
                <w:szCs w:val="24"/>
                <w:lang w:val="en-US"/>
              </w:rPr>
              <w:t>MCP joints</w:t>
            </w:r>
          </w:p>
        </w:tc>
        <w:tc>
          <w:tcPr>
            <w:tcW w:w="750" w:type="pct"/>
            <w:tcBorders>
              <w:top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47</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(27; 68)</w:t>
            </w:r>
          </w:p>
        </w:tc>
        <w:tc>
          <w:tcPr>
            <w:tcW w:w="68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94</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(90; 96)</w:t>
            </w:r>
          </w:p>
        </w:tc>
        <w:tc>
          <w:tcPr>
            <w:tcW w:w="476"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0.71</w:t>
            </w:r>
          </w:p>
        </w:tc>
        <w:tc>
          <w:tcPr>
            <w:tcW w:w="749"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55</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(34; 74)</w:t>
            </w:r>
          </w:p>
        </w:tc>
        <w:tc>
          <w:tcPr>
            <w:tcW w:w="611"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90</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(86; 93)</w:t>
            </w:r>
          </w:p>
        </w:tc>
        <w:tc>
          <w:tcPr>
            <w:tcW w:w="476"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0.73</w:t>
            </w:r>
          </w:p>
        </w:tc>
      </w:tr>
      <w:tr>
        <w:trPr>
          <w:trHeight w:val="472"/>
        </w:trPr>
        <w:tc>
          <w:tcPr>
            <w:tcW w:w="1258" w:type="pct"/>
            <w:tcBorders>
              <w:top w:val="nil"/>
              <w:left w:val="nil"/>
              <w:right w:val="nil"/>
            </w:tcBorders>
          </w:tcPr>
          <w:p>
            <w:pPr>
              <w:spacing w:afterLines="26" w:after="62" w:line="360" w:lineRule="auto"/>
              <w:rPr>
                <w:rFonts w:ascii="Times New Roman" w:hAnsi="Times New Roman"/>
                <w:sz w:val="24"/>
                <w:szCs w:val="24"/>
                <w:lang w:val="en-US"/>
              </w:rPr>
            </w:pPr>
            <w:r>
              <w:rPr>
                <w:rFonts w:ascii="Times New Roman" w:hAnsi="Times New Roman"/>
                <w:sz w:val="24"/>
                <w:szCs w:val="24"/>
                <w:lang w:val="en-US"/>
              </w:rPr>
              <w:t>Wrist joints</w:t>
            </w:r>
          </w:p>
        </w:tc>
        <w:tc>
          <w:tcPr>
            <w:tcW w:w="75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52</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(32; 72)</w:t>
            </w:r>
          </w:p>
        </w:tc>
        <w:tc>
          <w:tcPr>
            <w:tcW w:w="68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91</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(86; 94)</w:t>
            </w:r>
          </w:p>
        </w:tc>
        <w:tc>
          <w:tcPr>
            <w:tcW w:w="476"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0.71</w:t>
            </w:r>
          </w:p>
        </w:tc>
        <w:tc>
          <w:tcPr>
            <w:tcW w:w="749"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64</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(43; 80)</w:t>
            </w:r>
          </w:p>
        </w:tc>
        <w:tc>
          <w:tcPr>
            <w:tcW w:w="611"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95</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(90; 97)</w:t>
            </w:r>
          </w:p>
        </w:tc>
        <w:tc>
          <w:tcPr>
            <w:tcW w:w="476"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0.79</w:t>
            </w:r>
          </w:p>
        </w:tc>
      </w:tr>
      <w:tr>
        <w:trPr>
          <w:trHeight w:val="278"/>
        </w:trPr>
        <w:tc>
          <w:tcPr>
            <w:tcW w:w="1258" w:type="pct"/>
            <w:tcBorders>
              <w:left w:val="nil"/>
              <w:right w:val="nil"/>
            </w:tcBorders>
          </w:tcPr>
          <w:p>
            <w:pPr>
              <w:spacing w:afterLines="26" w:after="62" w:line="360" w:lineRule="auto"/>
              <w:rPr>
                <w:rFonts w:ascii="Times New Roman" w:hAnsi="Times New Roman"/>
                <w:sz w:val="24"/>
                <w:szCs w:val="24"/>
                <w:lang w:val="en-US"/>
              </w:rPr>
            </w:pPr>
            <w:r>
              <w:rPr>
                <w:rFonts w:ascii="Times New Roman" w:hAnsi="Times New Roman"/>
                <w:sz w:val="24"/>
                <w:szCs w:val="24"/>
                <w:lang w:val="en-US"/>
              </w:rPr>
              <w:t>MTP joints</w:t>
            </w:r>
          </w:p>
        </w:tc>
        <w:tc>
          <w:tcPr>
            <w:tcW w:w="75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72</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(55; 84)</w:t>
            </w:r>
          </w:p>
        </w:tc>
        <w:tc>
          <w:tcPr>
            <w:tcW w:w="68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78</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(73; 82)</w:t>
            </w:r>
          </w:p>
        </w:tc>
        <w:tc>
          <w:tcPr>
            <w:tcW w:w="476"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0.75</w:t>
            </w:r>
          </w:p>
        </w:tc>
        <w:tc>
          <w:tcPr>
            <w:tcW w:w="749"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38</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(23; 55)</w:t>
            </w:r>
          </w:p>
        </w:tc>
        <w:tc>
          <w:tcPr>
            <w:tcW w:w="611"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(94; 98)</w:t>
            </w:r>
          </w:p>
        </w:tc>
        <w:tc>
          <w:tcPr>
            <w:tcW w:w="476"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0.67</w:t>
            </w:r>
          </w:p>
        </w:tc>
      </w:tr>
      <w:tr>
        <w:trPr>
          <w:trHeight w:val="278"/>
        </w:trPr>
        <w:tc>
          <w:tcPr>
            <w:tcW w:w="1258" w:type="pct"/>
            <w:tcBorders>
              <w:left w:val="nil"/>
              <w:right w:val="nil"/>
            </w:tcBorders>
          </w:tcPr>
          <w:p>
            <w:pPr>
              <w:spacing w:afterLines="26" w:after="62" w:line="360" w:lineRule="auto"/>
              <w:rPr>
                <w:rFonts w:ascii="Times New Roman" w:hAnsi="Times New Roman"/>
                <w:i/>
                <w:sz w:val="24"/>
                <w:szCs w:val="24"/>
                <w:lang w:val="en-US"/>
              </w:rPr>
            </w:pPr>
            <w:r>
              <w:rPr>
                <w:rFonts w:ascii="Times New Roman" w:hAnsi="Times New Roman"/>
                <w:i/>
                <w:sz w:val="24"/>
                <w:szCs w:val="24"/>
                <w:lang w:val="en-US"/>
              </w:rPr>
              <w:t>Tenosynovitis</w:t>
            </w:r>
          </w:p>
        </w:tc>
        <w:tc>
          <w:tcPr>
            <w:tcW w:w="1430" w:type="pct"/>
            <w:gridSpan w:val="2"/>
            <w:tcBorders>
              <w:top w:val="nil"/>
              <w:left w:val="nil"/>
              <w:bottom w:val="nil"/>
              <w:right w:val="nil"/>
            </w:tcBorders>
            <w:noWrap/>
          </w:tcPr>
          <w:p>
            <w:pPr>
              <w:spacing w:afterLines="26" w:after="62" w:line="360" w:lineRule="auto"/>
              <w:rPr>
                <w:rFonts w:ascii="Times New Roman" w:hAnsi="Times New Roman"/>
                <w:i/>
                <w:sz w:val="24"/>
                <w:szCs w:val="24"/>
                <w:lang w:val="en-US"/>
              </w:rPr>
            </w:pPr>
            <w:r>
              <w:rPr>
                <w:rFonts w:ascii="Times New Roman" w:hAnsi="Times New Roman"/>
                <w:i/>
                <w:sz w:val="24"/>
                <w:szCs w:val="24"/>
                <w:lang w:val="en-US"/>
              </w:rPr>
              <w:t>GS ≥1</w:t>
            </w:r>
          </w:p>
        </w:tc>
        <w:tc>
          <w:tcPr>
            <w:tcW w:w="476" w:type="pct"/>
            <w:tcBorders>
              <w:top w:val="nil"/>
              <w:left w:val="nil"/>
              <w:bottom w:val="nil"/>
              <w:right w:val="nil"/>
            </w:tcBorders>
            <w:noWrap/>
          </w:tcPr>
          <w:p>
            <w:pPr>
              <w:spacing w:afterLines="26" w:after="62" w:line="360" w:lineRule="auto"/>
              <w:rPr>
                <w:rFonts w:ascii="Times New Roman" w:hAnsi="Times New Roman"/>
                <w:i/>
                <w:sz w:val="24"/>
                <w:szCs w:val="24"/>
                <w:lang w:val="en-US"/>
              </w:rPr>
            </w:pPr>
          </w:p>
        </w:tc>
        <w:tc>
          <w:tcPr>
            <w:tcW w:w="1836" w:type="pct"/>
            <w:gridSpan w:val="3"/>
            <w:tcBorders>
              <w:top w:val="nil"/>
              <w:left w:val="nil"/>
              <w:bottom w:val="nil"/>
              <w:right w:val="nil"/>
            </w:tcBorders>
          </w:tcPr>
          <w:p>
            <w:pPr>
              <w:spacing w:after="26" w:line="360" w:lineRule="auto"/>
              <w:rPr>
                <w:rFonts w:ascii="Times New Roman" w:eastAsia="Times New Roman" w:hAnsi="Times New Roman"/>
                <w:i/>
                <w:sz w:val="24"/>
                <w:szCs w:val="24"/>
                <w:lang w:val="en-US" w:eastAsia="en-GB"/>
              </w:rPr>
            </w:pPr>
            <w:r>
              <w:rPr>
                <w:rFonts w:ascii="Times New Roman" w:hAnsi="Times New Roman"/>
                <w:i/>
                <w:sz w:val="24"/>
                <w:szCs w:val="24"/>
                <w:lang w:val="en-US"/>
              </w:rPr>
              <w:t>PD ≥1</w:t>
            </w:r>
          </w:p>
        </w:tc>
      </w:tr>
      <w:tr>
        <w:trPr>
          <w:trHeight w:val="278"/>
        </w:trPr>
        <w:tc>
          <w:tcPr>
            <w:tcW w:w="1258" w:type="pct"/>
            <w:tcBorders>
              <w:left w:val="nil"/>
              <w:right w:val="nil"/>
            </w:tcBorders>
          </w:tcPr>
          <w:p>
            <w:pPr>
              <w:spacing w:afterLines="26" w:after="62" w:line="360" w:lineRule="auto"/>
              <w:rPr>
                <w:rFonts w:ascii="Times New Roman" w:hAnsi="Times New Roman"/>
                <w:sz w:val="24"/>
                <w:szCs w:val="24"/>
                <w:lang w:val="en-US"/>
              </w:rPr>
            </w:pPr>
            <w:r>
              <w:rPr>
                <w:rFonts w:ascii="Times New Roman" w:hAnsi="Times New Roman"/>
                <w:sz w:val="24"/>
                <w:szCs w:val="24"/>
                <w:lang w:val="en-US"/>
              </w:rPr>
              <w:t>Extensor wrist tendons</w:t>
            </w:r>
          </w:p>
        </w:tc>
        <w:tc>
          <w:tcPr>
            <w:tcW w:w="75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80</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(63; 90)</w:t>
            </w:r>
          </w:p>
        </w:tc>
        <w:tc>
          <w:tcPr>
            <w:tcW w:w="68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79</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(72; 84)</w:t>
            </w:r>
          </w:p>
        </w:tc>
        <w:tc>
          <w:tcPr>
            <w:tcW w:w="476"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0.79</w:t>
            </w:r>
          </w:p>
        </w:tc>
        <w:tc>
          <w:tcPr>
            <w:tcW w:w="749"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57</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(39; 73)</w:t>
            </w:r>
          </w:p>
        </w:tc>
        <w:tc>
          <w:tcPr>
            <w:tcW w:w="611"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96</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(92; 98)</w:t>
            </w:r>
          </w:p>
        </w:tc>
        <w:tc>
          <w:tcPr>
            <w:tcW w:w="476"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0.76</w:t>
            </w:r>
          </w:p>
        </w:tc>
      </w:tr>
      <w:tr>
        <w:trPr>
          <w:trHeight w:val="278"/>
        </w:trPr>
        <w:tc>
          <w:tcPr>
            <w:tcW w:w="1258" w:type="pct"/>
            <w:tcBorders>
              <w:left w:val="nil"/>
              <w:right w:val="nil"/>
            </w:tcBorders>
          </w:tcPr>
          <w:p>
            <w:pPr>
              <w:spacing w:afterLines="26" w:after="62" w:line="360" w:lineRule="auto"/>
              <w:rPr>
                <w:rFonts w:ascii="Times New Roman" w:hAnsi="Times New Roman"/>
                <w:sz w:val="24"/>
                <w:szCs w:val="24"/>
                <w:lang w:val="en-US"/>
              </w:rPr>
            </w:pPr>
            <w:r>
              <w:rPr>
                <w:rFonts w:ascii="Times New Roman" w:hAnsi="Times New Roman"/>
                <w:sz w:val="24"/>
                <w:szCs w:val="24"/>
                <w:lang w:val="en-US"/>
              </w:rPr>
              <w:t>Flexor wrist tendons</w:t>
            </w:r>
          </w:p>
        </w:tc>
        <w:tc>
          <w:tcPr>
            <w:tcW w:w="75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50</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(31; 69)</w:t>
            </w:r>
          </w:p>
        </w:tc>
        <w:tc>
          <w:tcPr>
            <w:tcW w:w="680"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94</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(90; 97)</w:t>
            </w:r>
          </w:p>
        </w:tc>
        <w:tc>
          <w:tcPr>
            <w:tcW w:w="476" w:type="pct"/>
            <w:tcBorders>
              <w:top w:val="nil"/>
              <w:left w:val="nil"/>
              <w:bottom w:val="nil"/>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0.72</w:t>
            </w:r>
          </w:p>
        </w:tc>
        <w:tc>
          <w:tcPr>
            <w:tcW w:w="749"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42</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(24; 61)</w:t>
            </w:r>
          </w:p>
        </w:tc>
        <w:tc>
          <w:tcPr>
            <w:tcW w:w="611"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99</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 100)</w:t>
            </w:r>
          </w:p>
        </w:tc>
        <w:tc>
          <w:tcPr>
            <w:tcW w:w="476" w:type="pct"/>
            <w:tcBorders>
              <w:top w:val="nil"/>
              <w:left w:val="nil"/>
              <w:bottom w:val="nil"/>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0.71</w:t>
            </w:r>
          </w:p>
        </w:tc>
      </w:tr>
      <w:tr>
        <w:trPr>
          <w:trHeight w:val="278"/>
        </w:trPr>
        <w:tc>
          <w:tcPr>
            <w:tcW w:w="1258" w:type="pct"/>
            <w:tcBorders>
              <w:left w:val="nil"/>
              <w:bottom w:val="single" w:sz="4" w:space="0" w:color="auto"/>
              <w:right w:val="nil"/>
            </w:tcBorders>
          </w:tcPr>
          <w:p>
            <w:pPr>
              <w:spacing w:afterLines="26" w:after="62" w:line="360" w:lineRule="auto"/>
              <w:rPr>
                <w:rFonts w:ascii="Times New Roman" w:hAnsi="Times New Roman"/>
                <w:sz w:val="24"/>
                <w:szCs w:val="24"/>
                <w:lang w:val="en-US"/>
              </w:rPr>
            </w:pPr>
            <w:r>
              <w:rPr>
                <w:rFonts w:ascii="Times New Roman" w:hAnsi="Times New Roman"/>
                <w:sz w:val="24"/>
                <w:szCs w:val="24"/>
                <w:lang w:val="en-US"/>
              </w:rPr>
              <w:t>Flexor MCP tendons</w:t>
            </w:r>
          </w:p>
        </w:tc>
        <w:tc>
          <w:tcPr>
            <w:tcW w:w="750" w:type="pct"/>
            <w:tcBorders>
              <w:top w:val="nil"/>
              <w:left w:val="nil"/>
              <w:bottom w:val="single" w:sz="4" w:space="0" w:color="auto"/>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54</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(35; 71)</w:t>
            </w:r>
          </w:p>
        </w:tc>
        <w:tc>
          <w:tcPr>
            <w:tcW w:w="680" w:type="pct"/>
            <w:tcBorders>
              <w:top w:val="nil"/>
              <w:left w:val="nil"/>
              <w:bottom w:val="single" w:sz="4" w:space="0" w:color="auto"/>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80</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(75; 85)</w:t>
            </w:r>
          </w:p>
        </w:tc>
        <w:tc>
          <w:tcPr>
            <w:tcW w:w="476" w:type="pct"/>
            <w:tcBorders>
              <w:top w:val="nil"/>
              <w:left w:val="nil"/>
              <w:bottom w:val="single" w:sz="4" w:space="0" w:color="auto"/>
              <w:right w:val="nil"/>
            </w:tcBorders>
            <w:noWrap/>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0.67</w:t>
            </w:r>
          </w:p>
        </w:tc>
        <w:tc>
          <w:tcPr>
            <w:tcW w:w="749" w:type="pct"/>
            <w:tcBorders>
              <w:top w:val="nil"/>
              <w:left w:val="nil"/>
              <w:bottom w:val="single" w:sz="4" w:space="0" w:color="auto"/>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19</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 38)</w:t>
            </w:r>
          </w:p>
        </w:tc>
        <w:tc>
          <w:tcPr>
            <w:tcW w:w="611" w:type="pct"/>
            <w:tcBorders>
              <w:top w:val="nil"/>
              <w:left w:val="nil"/>
              <w:bottom w:val="single" w:sz="4" w:space="0" w:color="auto"/>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98</w:t>
            </w:r>
          </w:p>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(95; 99)</w:t>
            </w:r>
          </w:p>
        </w:tc>
        <w:tc>
          <w:tcPr>
            <w:tcW w:w="476" w:type="pct"/>
            <w:tcBorders>
              <w:top w:val="nil"/>
              <w:left w:val="nil"/>
              <w:bottom w:val="single" w:sz="4" w:space="0" w:color="auto"/>
              <w:right w:val="nil"/>
            </w:tcBorders>
          </w:tcPr>
          <w:p>
            <w:pPr>
              <w:spacing w:after="26"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0.59</w:t>
            </w:r>
          </w:p>
        </w:tc>
      </w:tr>
    </w:tbl>
    <w:p>
      <w:pPr>
        <w:spacing w:line="360" w:lineRule="auto"/>
        <w:rPr>
          <w:rFonts w:ascii="Times New Roman" w:hAnsi="Times New Roman"/>
          <w:sz w:val="24"/>
          <w:szCs w:val="24"/>
          <w:lang w:val="en-US"/>
        </w:rPr>
      </w:pPr>
      <w:r>
        <w:rPr>
          <w:rFonts w:ascii="Times New Roman" w:hAnsi="Times New Roman"/>
          <w:sz w:val="24"/>
          <w:szCs w:val="24"/>
          <w:lang w:val="en-US"/>
        </w:rPr>
        <w:t>Test characteristics are shown in percentages with a 95% CI except for the AUC, area under the receiver operating characteristic curve; GS: Grey-scale Ultrasound; PD: Power Doppler.</w:t>
      </w:r>
    </w:p>
    <w:bookmarkEnd w:id="3"/>
    <w:p>
      <w:pPr>
        <w:rPr>
          <w:rFonts w:ascii="Times New Roman" w:eastAsia="PMingLiU" w:hAnsi="Times New Roman" w:cs="Times New Roman"/>
          <w:b/>
          <w:color w:val="000000" w:themeColor="text1"/>
          <w:sz w:val="24"/>
          <w:szCs w:val="24"/>
          <w:lang w:val="en-US" w:eastAsia="nl-NL"/>
        </w:rPr>
      </w:pPr>
      <w:r>
        <w:rPr>
          <w:rFonts w:cs="Times New Roman"/>
        </w:rPr>
        <w:br w:type="page"/>
      </w:r>
    </w:p>
    <w:p>
      <w:pPr>
        <w:pStyle w:val="Head3Wouter"/>
        <w:spacing w:before="0" w:line="480" w:lineRule="auto"/>
        <w:rPr>
          <w:rFonts w:cs="Times New Roman"/>
          <w:b w:val="0"/>
          <w:i/>
        </w:rPr>
      </w:pPr>
      <w:r>
        <w:rPr>
          <w:rFonts w:cs="Times New Roman"/>
        </w:rPr>
        <w:lastRenderedPageBreak/>
        <w:t xml:space="preserve">Table S5. </w:t>
      </w:r>
      <w:r>
        <w:rPr>
          <w:rFonts w:cs="Times New Roman"/>
          <w:b w:val="0"/>
          <w:lang w:val="en-GB"/>
        </w:rPr>
        <w:t>Test characteristics for US-detected synovitis and tenosynovitis with MRI as reference for CSA and IA separately</w:t>
      </w:r>
      <w:r>
        <w:rPr>
          <w:rFonts w:cs="Times New Roman"/>
          <w:b w:val="0"/>
        </w:rPr>
        <w:t xml:space="preserve">. </w:t>
      </w:r>
    </w:p>
    <w:tbl>
      <w:tblPr>
        <w:tblW w:w="5000" w:type="pct"/>
        <w:tblCellMar>
          <w:left w:w="70" w:type="dxa"/>
          <w:right w:w="70" w:type="dxa"/>
        </w:tblCellMar>
        <w:tblLook w:val="00A0" w:firstRow="1" w:lastRow="0" w:firstColumn="1" w:lastColumn="0" w:noHBand="0" w:noVBand="0"/>
      </w:tblPr>
      <w:tblGrid>
        <w:gridCol w:w="1959"/>
        <w:gridCol w:w="1441"/>
        <w:gridCol w:w="1442"/>
        <w:gridCol w:w="1107"/>
        <w:gridCol w:w="1208"/>
        <w:gridCol w:w="1208"/>
        <w:gridCol w:w="661"/>
      </w:tblGrid>
      <w:tr>
        <w:trPr>
          <w:trHeight w:val="278"/>
        </w:trPr>
        <w:tc>
          <w:tcPr>
            <w:tcW w:w="1086" w:type="pct"/>
            <w:tcBorders>
              <w:top w:val="single" w:sz="18" w:space="0" w:color="auto"/>
              <w:left w:val="nil"/>
              <w:bottom w:val="single" w:sz="4" w:space="0" w:color="auto"/>
              <w:right w:val="nil"/>
            </w:tcBorders>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IA-patients</w:t>
            </w:r>
          </w:p>
        </w:tc>
        <w:tc>
          <w:tcPr>
            <w:tcW w:w="798" w:type="pct"/>
            <w:tcBorders>
              <w:top w:val="single" w:sz="18" w:space="0" w:color="auto"/>
              <w:left w:val="nil"/>
              <w:bottom w:val="single" w:sz="4" w:space="0" w:color="auto"/>
              <w:right w:val="nil"/>
            </w:tcBorders>
            <w:noWrap/>
            <w:vAlign w:val="center"/>
          </w:tcPr>
          <w:p>
            <w:pPr>
              <w:spacing w:after="0" w:line="360" w:lineRule="auto"/>
              <w:rPr>
                <w:rFonts w:ascii="Times New Roman" w:hAnsi="Times New Roman"/>
                <w:b/>
                <w:color w:val="000000"/>
                <w:sz w:val="24"/>
                <w:szCs w:val="24"/>
                <w:lang w:val="en-US"/>
              </w:rPr>
            </w:pPr>
            <w:r>
              <w:rPr>
                <w:rFonts w:ascii="Times New Roman" w:hAnsi="Times New Roman"/>
                <w:b/>
                <w:color w:val="000000"/>
                <w:sz w:val="24"/>
                <w:szCs w:val="24"/>
                <w:lang w:val="en-US"/>
              </w:rPr>
              <w:t>Sensitivity</w:t>
            </w:r>
          </w:p>
        </w:tc>
        <w:tc>
          <w:tcPr>
            <w:tcW w:w="799" w:type="pct"/>
            <w:tcBorders>
              <w:top w:val="single" w:sz="18" w:space="0" w:color="auto"/>
              <w:left w:val="nil"/>
              <w:bottom w:val="single" w:sz="4" w:space="0" w:color="auto"/>
              <w:right w:val="nil"/>
            </w:tcBorders>
            <w:noWrap/>
            <w:vAlign w:val="center"/>
          </w:tcPr>
          <w:p>
            <w:pPr>
              <w:spacing w:after="0" w:line="360" w:lineRule="auto"/>
              <w:rPr>
                <w:rFonts w:ascii="Times New Roman" w:hAnsi="Times New Roman"/>
                <w:b/>
                <w:color w:val="000000"/>
                <w:sz w:val="24"/>
                <w:szCs w:val="24"/>
                <w:lang w:val="en-US"/>
              </w:rPr>
            </w:pPr>
            <w:r>
              <w:rPr>
                <w:rFonts w:ascii="Times New Roman" w:hAnsi="Times New Roman"/>
                <w:b/>
                <w:color w:val="000000"/>
                <w:sz w:val="24"/>
                <w:szCs w:val="24"/>
                <w:lang w:val="en-US"/>
              </w:rPr>
              <w:t>Specificity</w:t>
            </w:r>
          </w:p>
        </w:tc>
        <w:tc>
          <w:tcPr>
            <w:tcW w:w="613" w:type="pct"/>
            <w:tcBorders>
              <w:top w:val="single" w:sz="18" w:space="0" w:color="auto"/>
              <w:left w:val="nil"/>
              <w:bottom w:val="single" w:sz="2" w:space="0" w:color="auto"/>
              <w:right w:val="nil"/>
            </w:tcBorders>
            <w:noWrap/>
            <w:vAlign w:val="center"/>
          </w:tcPr>
          <w:p>
            <w:pPr>
              <w:spacing w:after="0" w:line="360" w:lineRule="auto"/>
              <w:rPr>
                <w:rFonts w:ascii="Times New Roman" w:hAnsi="Times New Roman"/>
                <w:b/>
                <w:color w:val="000000"/>
                <w:sz w:val="24"/>
                <w:szCs w:val="24"/>
                <w:lang w:val="en-US"/>
              </w:rPr>
            </w:pPr>
            <w:r>
              <w:rPr>
                <w:rFonts w:ascii="Times New Roman" w:hAnsi="Times New Roman"/>
                <w:b/>
                <w:color w:val="000000"/>
                <w:sz w:val="24"/>
                <w:szCs w:val="24"/>
                <w:lang w:val="en-US"/>
              </w:rPr>
              <w:t xml:space="preserve">AUC </w:t>
            </w:r>
          </w:p>
        </w:tc>
        <w:tc>
          <w:tcPr>
            <w:tcW w:w="669" w:type="pct"/>
            <w:tcBorders>
              <w:top w:val="single" w:sz="18" w:space="0" w:color="auto"/>
              <w:left w:val="nil"/>
              <w:bottom w:val="single" w:sz="2" w:space="0" w:color="auto"/>
              <w:right w:val="nil"/>
            </w:tcBorders>
            <w:vAlign w:val="center"/>
          </w:tcPr>
          <w:p>
            <w:pPr>
              <w:spacing w:after="0" w:line="360" w:lineRule="auto"/>
              <w:rPr>
                <w:rFonts w:ascii="Times New Roman" w:hAnsi="Times New Roman"/>
                <w:b/>
                <w:color w:val="000000"/>
                <w:sz w:val="24"/>
                <w:szCs w:val="24"/>
                <w:lang w:val="en-US"/>
              </w:rPr>
            </w:pPr>
            <w:r>
              <w:rPr>
                <w:rFonts w:ascii="Times New Roman" w:hAnsi="Times New Roman"/>
                <w:b/>
                <w:color w:val="000000"/>
                <w:sz w:val="24"/>
                <w:szCs w:val="24"/>
                <w:lang w:val="en-US"/>
              </w:rPr>
              <w:t>Sensitivity</w:t>
            </w:r>
          </w:p>
        </w:tc>
        <w:tc>
          <w:tcPr>
            <w:tcW w:w="669" w:type="pct"/>
            <w:tcBorders>
              <w:top w:val="single" w:sz="18" w:space="0" w:color="auto"/>
              <w:left w:val="nil"/>
              <w:bottom w:val="single" w:sz="2" w:space="0" w:color="auto"/>
              <w:right w:val="nil"/>
            </w:tcBorders>
            <w:vAlign w:val="center"/>
          </w:tcPr>
          <w:p>
            <w:pPr>
              <w:spacing w:after="0" w:line="360" w:lineRule="auto"/>
              <w:rPr>
                <w:rFonts w:ascii="Times New Roman" w:hAnsi="Times New Roman"/>
                <w:b/>
                <w:color w:val="000000"/>
                <w:sz w:val="24"/>
                <w:szCs w:val="24"/>
                <w:lang w:val="en-US"/>
              </w:rPr>
            </w:pPr>
            <w:r>
              <w:rPr>
                <w:rFonts w:ascii="Times New Roman" w:hAnsi="Times New Roman"/>
                <w:b/>
                <w:color w:val="000000"/>
                <w:sz w:val="24"/>
                <w:szCs w:val="24"/>
                <w:lang w:val="en-US"/>
              </w:rPr>
              <w:t>Specificity</w:t>
            </w:r>
          </w:p>
        </w:tc>
        <w:tc>
          <w:tcPr>
            <w:tcW w:w="366" w:type="pct"/>
            <w:tcBorders>
              <w:top w:val="single" w:sz="18" w:space="0" w:color="auto"/>
              <w:left w:val="nil"/>
              <w:bottom w:val="single" w:sz="2" w:space="0" w:color="auto"/>
              <w:right w:val="nil"/>
            </w:tcBorders>
            <w:vAlign w:val="center"/>
          </w:tcPr>
          <w:p>
            <w:pPr>
              <w:spacing w:after="0" w:line="360" w:lineRule="auto"/>
              <w:rPr>
                <w:rFonts w:ascii="Times New Roman" w:hAnsi="Times New Roman"/>
                <w:b/>
                <w:color w:val="000000"/>
                <w:sz w:val="24"/>
                <w:szCs w:val="24"/>
                <w:lang w:val="en-US"/>
              </w:rPr>
            </w:pPr>
            <w:r>
              <w:rPr>
                <w:rFonts w:ascii="Times New Roman" w:hAnsi="Times New Roman"/>
                <w:b/>
                <w:color w:val="000000"/>
                <w:sz w:val="24"/>
                <w:szCs w:val="24"/>
                <w:lang w:val="en-US"/>
              </w:rPr>
              <w:t xml:space="preserve">AUC </w:t>
            </w:r>
          </w:p>
        </w:tc>
      </w:tr>
      <w:tr>
        <w:trPr>
          <w:trHeight w:val="336"/>
        </w:trPr>
        <w:tc>
          <w:tcPr>
            <w:tcW w:w="1086" w:type="pct"/>
            <w:tcBorders>
              <w:top w:val="single" w:sz="4" w:space="0" w:color="auto"/>
              <w:left w:val="nil"/>
            </w:tcBorders>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 xml:space="preserve">Synovitis </w:t>
            </w:r>
          </w:p>
        </w:tc>
        <w:tc>
          <w:tcPr>
            <w:tcW w:w="2210" w:type="pct"/>
            <w:gridSpan w:val="3"/>
            <w:tcBorders>
              <w:top w:val="single" w:sz="4" w:space="0" w:color="auto"/>
              <w:right w:val="nil"/>
            </w:tcBorders>
          </w:tcPr>
          <w:p>
            <w:pPr>
              <w:spacing w:after="0" w:line="360" w:lineRule="auto"/>
              <w:rPr>
                <w:rFonts w:ascii="Times New Roman" w:hAnsi="Times New Roman"/>
                <w:i/>
                <w:sz w:val="24"/>
                <w:szCs w:val="24"/>
                <w:lang w:val="en-US"/>
              </w:rPr>
            </w:pPr>
            <w:r>
              <w:rPr>
                <w:rFonts w:ascii="Times New Roman" w:hAnsi="Times New Roman"/>
                <w:i/>
                <w:sz w:val="24"/>
                <w:szCs w:val="24"/>
                <w:lang w:val="en-US"/>
              </w:rPr>
              <w:t>GS ≥1 (EULAR-OMERACT)</w:t>
            </w:r>
          </w:p>
        </w:tc>
        <w:tc>
          <w:tcPr>
            <w:tcW w:w="1704" w:type="pct"/>
            <w:gridSpan w:val="3"/>
            <w:tcBorders>
              <w:top w:val="nil"/>
              <w:left w:val="nil"/>
              <w:bottom w:val="nil"/>
              <w:right w:val="nil"/>
            </w:tcBorders>
          </w:tcPr>
          <w:p>
            <w:pPr>
              <w:spacing w:after="0" w:line="360" w:lineRule="auto"/>
              <w:rPr>
                <w:rFonts w:ascii="Times New Roman" w:hAnsi="Times New Roman"/>
                <w:i/>
                <w:sz w:val="24"/>
                <w:szCs w:val="24"/>
                <w:lang w:val="en-US"/>
              </w:rPr>
            </w:pPr>
            <w:r>
              <w:rPr>
                <w:rFonts w:ascii="Times New Roman" w:hAnsi="Times New Roman"/>
                <w:i/>
                <w:sz w:val="24"/>
                <w:szCs w:val="24"/>
                <w:lang w:val="en-US"/>
              </w:rPr>
              <w:t>PD ≥1</w:t>
            </w:r>
          </w:p>
        </w:tc>
      </w:tr>
      <w:tr>
        <w:trPr>
          <w:trHeight w:val="278"/>
        </w:trPr>
        <w:tc>
          <w:tcPr>
            <w:tcW w:w="1086" w:type="pct"/>
            <w:tcBorders>
              <w:lef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MCP joints</w:t>
            </w:r>
          </w:p>
        </w:tc>
        <w:tc>
          <w:tcPr>
            <w:tcW w:w="798" w:type="pct"/>
            <w:tcBorders>
              <w:top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(41; 71)</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95</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(88; 98)</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0.76</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63</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(48; 76)</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(91; 99)</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0.80</w:t>
            </w:r>
          </w:p>
        </w:tc>
      </w:tr>
      <w:tr>
        <w:trPr>
          <w:trHeight w:val="472"/>
        </w:trPr>
        <w:tc>
          <w:tcPr>
            <w:tcW w:w="1086" w:type="pct"/>
            <w:tcBorders>
              <w:top w:val="nil"/>
              <w:left w:val="nil"/>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Wrist joints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36</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(24; 50)</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(77; 96)</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0.63</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36</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(24; 50)</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(87;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0.67</w:t>
            </w:r>
          </w:p>
        </w:tc>
      </w:tr>
      <w:tr>
        <w:trPr>
          <w:trHeight w:val="278"/>
        </w:trPr>
        <w:tc>
          <w:tcPr>
            <w:tcW w:w="1086" w:type="pct"/>
            <w:tcBorders>
              <w:left w:val="nil"/>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MTP joints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(71; 95)</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76</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(67; 83)</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0.82</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42</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(26; 59)</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99</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(95;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0.71</w:t>
            </w:r>
          </w:p>
        </w:tc>
      </w:tr>
      <w:tr>
        <w:trPr>
          <w:trHeight w:val="278"/>
        </w:trPr>
        <w:tc>
          <w:tcPr>
            <w:tcW w:w="1086" w:type="pct"/>
            <w:tcBorders>
              <w:left w:val="nil"/>
              <w:right w:val="nil"/>
            </w:tcBorders>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Tenosynovitis</w:t>
            </w:r>
          </w:p>
        </w:tc>
        <w:tc>
          <w:tcPr>
            <w:tcW w:w="1596" w:type="pct"/>
            <w:gridSpan w:val="2"/>
            <w:tcBorders>
              <w:top w:val="nil"/>
              <w:left w:val="nil"/>
              <w:bottom w:val="nil"/>
              <w:right w:val="nil"/>
            </w:tcBorders>
            <w:noWrap/>
          </w:tcPr>
          <w:p>
            <w:pPr>
              <w:spacing w:after="0" w:line="360" w:lineRule="auto"/>
              <w:rPr>
                <w:rFonts w:ascii="Times New Roman" w:hAnsi="Times New Roman"/>
                <w:i/>
                <w:sz w:val="24"/>
                <w:szCs w:val="24"/>
                <w:lang w:val="en-US"/>
              </w:rPr>
            </w:pPr>
            <w:r>
              <w:rPr>
                <w:rFonts w:ascii="Times New Roman" w:hAnsi="Times New Roman"/>
                <w:i/>
                <w:sz w:val="24"/>
                <w:szCs w:val="24"/>
                <w:lang w:val="en-US"/>
              </w:rPr>
              <w:t>GS ≥1</w:t>
            </w:r>
          </w:p>
        </w:tc>
        <w:tc>
          <w:tcPr>
            <w:tcW w:w="613" w:type="pct"/>
            <w:tcBorders>
              <w:top w:val="nil"/>
              <w:left w:val="nil"/>
              <w:bottom w:val="nil"/>
              <w:right w:val="nil"/>
            </w:tcBorders>
            <w:noWrap/>
          </w:tcPr>
          <w:p>
            <w:pPr>
              <w:spacing w:after="0" w:line="360" w:lineRule="auto"/>
              <w:rPr>
                <w:rFonts w:ascii="Times New Roman" w:hAnsi="Times New Roman"/>
                <w:i/>
                <w:sz w:val="24"/>
                <w:szCs w:val="24"/>
                <w:lang w:val="en-US"/>
              </w:rPr>
            </w:pPr>
          </w:p>
        </w:tc>
        <w:tc>
          <w:tcPr>
            <w:tcW w:w="1704" w:type="pct"/>
            <w:gridSpan w:val="3"/>
            <w:tcBorders>
              <w:top w:val="nil"/>
              <w:left w:val="nil"/>
              <w:bottom w:val="nil"/>
              <w:right w:val="nil"/>
            </w:tcBorders>
          </w:tcPr>
          <w:p>
            <w:pPr>
              <w:spacing w:after="0" w:line="360" w:lineRule="auto"/>
              <w:rPr>
                <w:rFonts w:ascii="Times New Roman" w:eastAsia="Times New Roman" w:hAnsi="Times New Roman"/>
                <w:i/>
                <w:sz w:val="24"/>
                <w:szCs w:val="24"/>
                <w:lang w:val="en-US" w:eastAsia="en-GB"/>
              </w:rPr>
            </w:pPr>
            <w:r>
              <w:rPr>
                <w:rFonts w:ascii="Times New Roman" w:hAnsi="Times New Roman"/>
                <w:i/>
                <w:sz w:val="24"/>
                <w:szCs w:val="24"/>
                <w:lang w:val="en-US"/>
              </w:rPr>
              <w:t>PD ≥1</w:t>
            </w:r>
          </w:p>
        </w:tc>
      </w:tr>
      <w:tr>
        <w:trPr>
          <w:trHeight w:val="278"/>
        </w:trPr>
        <w:tc>
          <w:tcPr>
            <w:tcW w:w="1086" w:type="pct"/>
            <w:tcBorders>
              <w:left w:val="nil"/>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Extensor wrist tendons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82</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(64; 92)</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(69; 88)</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0.82</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64</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(46; 79)</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(91;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0.81</w:t>
            </w:r>
          </w:p>
        </w:tc>
      </w:tr>
      <w:tr>
        <w:trPr>
          <w:trHeight w:val="278"/>
        </w:trPr>
        <w:tc>
          <w:tcPr>
            <w:tcW w:w="1086" w:type="pct"/>
            <w:tcBorders>
              <w:left w:val="nil"/>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Flexor wrist tendons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55</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(35; 73)</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(78; 94)</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0.72</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45</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(27; 65)</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99</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(92;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0.72</w:t>
            </w:r>
          </w:p>
        </w:tc>
      </w:tr>
      <w:tr>
        <w:trPr>
          <w:trHeight w:val="278"/>
        </w:trPr>
        <w:tc>
          <w:tcPr>
            <w:tcW w:w="1086" w:type="pct"/>
            <w:tcBorders>
              <w:left w:val="nil"/>
              <w:bottom w:val="single" w:sz="4" w:space="0" w:color="auto"/>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Flexor MCP tendons</w:t>
            </w:r>
          </w:p>
        </w:tc>
        <w:tc>
          <w:tcPr>
            <w:tcW w:w="798" w:type="pct"/>
            <w:tcBorders>
              <w:top w:val="nil"/>
              <w:left w:val="nil"/>
              <w:bottom w:val="single" w:sz="4" w:space="0" w:color="auto"/>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84</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(69; 92)</w:t>
            </w:r>
          </w:p>
        </w:tc>
        <w:tc>
          <w:tcPr>
            <w:tcW w:w="799" w:type="pct"/>
            <w:tcBorders>
              <w:top w:val="nil"/>
              <w:left w:val="nil"/>
              <w:bottom w:val="single" w:sz="4" w:space="0" w:color="auto"/>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89</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(81; 94)</w:t>
            </w:r>
          </w:p>
        </w:tc>
        <w:tc>
          <w:tcPr>
            <w:tcW w:w="613" w:type="pct"/>
            <w:tcBorders>
              <w:top w:val="nil"/>
              <w:left w:val="nil"/>
              <w:bottom w:val="single" w:sz="4" w:space="0" w:color="auto"/>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0.87</w:t>
            </w:r>
          </w:p>
        </w:tc>
        <w:tc>
          <w:tcPr>
            <w:tcW w:w="669" w:type="pct"/>
            <w:tcBorders>
              <w:top w:val="nil"/>
              <w:left w:val="nil"/>
              <w:bottom w:val="single" w:sz="4" w:space="0" w:color="auto"/>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22</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(11; 37)</w:t>
            </w:r>
          </w:p>
        </w:tc>
        <w:tc>
          <w:tcPr>
            <w:tcW w:w="669" w:type="pct"/>
            <w:tcBorders>
              <w:top w:val="nil"/>
              <w:left w:val="nil"/>
              <w:bottom w:val="single" w:sz="4" w:space="0" w:color="auto"/>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100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(96; 100)</w:t>
            </w:r>
          </w:p>
        </w:tc>
        <w:tc>
          <w:tcPr>
            <w:tcW w:w="366" w:type="pct"/>
            <w:tcBorders>
              <w:top w:val="nil"/>
              <w:left w:val="nil"/>
              <w:bottom w:val="single" w:sz="4" w:space="0" w:color="auto"/>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0.61</w:t>
            </w:r>
          </w:p>
        </w:tc>
      </w:tr>
      <w:tr>
        <w:trPr>
          <w:trHeight w:val="315"/>
        </w:trPr>
        <w:tc>
          <w:tcPr>
            <w:tcW w:w="1086" w:type="pct"/>
            <w:tcBorders>
              <w:left w:val="nil"/>
              <w:bottom w:val="single" w:sz="4" w:space="0" w:color="auto"/>
              <w:right w:val="nil"/>
            </w:tcBorders>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CSA-patients</w:t>
            </w:r>
          </w:p>
        </w:tc>
        <w:tc>
          <w:tcPr>
            <w:tcW w:w="798" w:type="pct"/>
            <w:tcBorders>
              <w:top w:val="nil"/>
              <w:left w:val="nil"/>
              <w:bottom w:val="single" w:sz="4" w:space="0" w:color="auto"/>
              <w:right w:val="nil"/>
            </w:tcBorders>
            <w:noWrap/>
          </w:tcPr>
          <w:p>
            <w:pPr>
              <w:spacing w:after="0" w:line="360" w:lineRule="auto"/>
              <w:rPr>
                <w:rFonts w:ascii="Times New Roman" w:eastAsia="Times New Roman" w:hAnsi="Times New Roman"/>
                <w:color w:val="000000"/>
                <w:sz w:val="24"/>
                <w:szCs w:val="24"/>
                <w:lang w:val="en-US" w:eastAsia="en-GB"/>
              </w:rPr>
            </w:pPr>
          </w:p>
        </w:tc>
        <w:tc>
          <w:tcPr>
            <w:tcW w:w="799" w:type="pct"/>
            <w:tcBorders>
              <w:top w:val="nil"/>
              <w:left w:val="nil"/>
              <w:bottom w:val="single" w:sz="4" w:space="0" w:color="auto"/>
              <w:right w:val="nil"/>
            </w:tcBorders>
            <w:noWrap/>
          </w:tcPr>
          <w:p>
            <w:pPr>
              <w:spacing w:after="0" w:line="360" w:lineRule="auto"/>
              <w:rPr>
                <w:rFonts w:ascii="Times New Roman" w:eastAsia="Times New Roman" w:hAnsi="Times New Roman"/>
                <w:color w:val="000000"/>
                <w:sz w:val="24"/>
                <w:szCs w:val="24"/>
                <w:lang w:val="en-US" w:eastAsia="en-GB"/>
              </w:rPr>
            </w:pPr>
          </w:p>
        </w:tc>
        <w:tc>
          <w:tcPr>
            <w:tcW w:w="613" w:type="pct"/>
            <w:tcBorders>
              <w:top w:val="nil"/>
              <w:left w:val="nil"/>
              <w:bottom w:val="single" w:sz="4" w:space="0" w:color="auto"/>
              <w:right w:val="nil"/>
            </w:tcBorders>
            <w:noWrap/>
          </w:tcPr>
          <w:p>
            <w:pPr>
              <w:spacing w:after="0" w:line="360" w:lineRule="auto"/>
              <w:rPr>
                <w:rFonts w:ascii="Times New Roman" w:eastAsia="Times New Roman" w:hAnsi="Times New Roman"/>
                <w:color w:val="000000"/>
                <w:sz w:val="24"/>
                <w:szCs w:val="24"/>
                <w:lang w:val="en-US" w:eastAsia="en-GB"/>
              </w:rPr>
            </w:pPr>
          </w:p>
        </w:tc>
        <w:tc>
          <w:tcPr>
            <w:tcW w:w="669" w:type="pct"/>
            <w:tcBorders>
              <w:top w:val="nil"/>
              <w:left w:val="nil"/>
              <w:bottom w:val="single" w:sz="4" w:space="0" w:color="auto"/>
              <w:right w:val="nil"/>
            </w:tcBorders>
          </w:tcPr>
          <w:p>
            <w:pPr>
              <w:spacing w:after="0" w:line="360" w:lineRule="auto"/>
              <w:rPr>
                <w:rFonts w:ascii="Times New Roman" w:eastAsia="Times New Roman" w:hAnsi="Times New Roman"/>
                <w:color w:val="000000"/>
                <w:sz w:val="24"/>
                <w:szCs w:val="24"/>
                <w:lang w:val="en-US" w:eastAsia="en-GB"/>
              </w:rPr>
            </w:pPr>
          </w:p>
        </w:tc>
        <w:tc>
          <w:tcPr>
            <w:tcW w:w="669" w:type="pct"/>
            <w:tcBorders>
              <w:top w:val="nil"/>
              <w:left w:val="nil"/>
              <w:bottom w:val="single" w:sz="4" w:space="0" w:color="auto"/>
              <w:right w:val="nil"/>
            </w:tcBorders>
          </w:tcPr>
          <w:p>
            <w:pPr>
              <w:spacing w:after="0" w:line="360" w:lineRule="auto"/>
              <w:rPr>
                <w:rFonts w:ascii="Times New Roman" w:eastAsia="Times New Roman" w:hAnsi="Times New Roman"/>
                <w:color w:val="000000"/>
                <w:sz w:val="24"/>
                <w:szCs w:val="24"/>
                <w:lang w:val="en-US" w:eastAsia="en-GB"/>
              </w:rPr>
            </w:pPr>
          </w:p>
        </w:tc>
        <w:tc>
          <w:tcPr>
            <w:tcW w:w="366" w:type="pct"/>
            <w:tcBorders>
              <w:top w:val="nil"/>
              <w:left w:val="nil"/>
              <w:bottom w:val="single" w:sz="4" w:space="0" w:color="auto"/>
              <w:right w:val="nil"/>
            </w:tcBorders>
          </w:tcPr>
          <w:p>
            <w:pPr>
              <w:spacing w:after="0" w:line="360" w:lineRule="auto"/>
              <w:rPr>
                <w:rFonts w:ascii="Times New Roman" w:eastAsia="Times New Roman" w:hAnsi="Times New Roman"/>
                <w:color w:val="000000"/>
                <w:sz w:val="24"/>
                <w:szCs w:val="24"/>
                <w:lang w:val="en-US" w:eastAsia="en-GB"/>
              </w:rPr>
            </w:pPr>
          </w:p>
        </w:tc>
      </w:tr>
      <w:tr>
        <w:trPr>
          <w:trHeight w:val="336"/>
        </w:trPr>
        <w:tc>
          <w:tcPr>
            <w:tcW w:w="1086" w:type="pct"/>
            <w:tcBorders>
              <w:top w:val="single" w:sz="4" w:space="0" w:color="auto"/>
              <w:left w:val="nil"/>
            </w:tcBorders>
          </w:tcPr>
          <w:p>
            <w:pPr>
              <w:spacing w:after="0" w:line="360" w:lineRule="auto"/>
              <w:rPr>
                <w:rFonts w:ascii="Times New Roman" w:hAnsi="Times New Roman"/>
                <w:i/>
                <w:sz w:val="24"/>
                <w:szCs w:val="24"/>
                <w:lang w:val="en-US"/>
              </w:rPr>
            </w:pPr>
            <w:r>
              <w:rPr>
                <w:rFonts w:ascii="Times New Roman" w:hAnsi="Times New Roman"/>
                <w:i/>
                <w:sz w:val="24"/>
                <w:szCs w:val="24"/>
                <w:lang w:val="en-US"/>
              </w:rPr>
              <w:t xml:space="preserve">Synovitis </w:t>
            </w:r>
          </w:p>
        </w:tc>
        <w:tc>
          <w:tcPr>
            <w:tcW w:w="2210" w:type="pct"/>
            <w:gridSpan w:val="3"/>
            <w:tcBorders>
              <w:top w:val="single" w:sz="4" w:space="0" w:color="auto"/>
              <w:right w:val="nil"/>
            </w:tcBorders>
          </w:tcPr>
          <w:p>
            <w:pPr>
              <w:spacing w:after="0" w:line="360" w:lineRule="auto"/>
              <w:rPr>
                <w:rFonts w:ascii="Times New Roman" w:hAnsi="Times New Roman"/>
                <w:i/>
                <w:sz w:val="24"/>
                <w:szCs w:val="24"/>
                <w:lang w:val="en-US"/>
              </w:rPr>
            </w:pPr>
            <w:r>
              <w:rPr>
                <w:rFonts w:ascii="Times New Roman" w:hAnsi="Times New Roman"/>
                <w:i/>
                <w:sz w:val="24"/>
                <w:szCs w:val="24"/>
                <w:lang w:val="en-US"/>
              </w:rPr>
              <w:t>GS ≥1 (EULAR-OMERACT)</w:t>
            </w:r>
          </w:p>
        </w:tc>
        <w:tc>
          <w:tcPr>
            <w:tcW w:w="1704" w:type="pct"/>
            <w:gridSpan w:val="3"/>
            <w:tcBorders>
              <w:top w:val="nil"/>
              <w:left w:val="nil"/>
              <w:bottom w:val="nil"/>
              <w:right w:val="nil"/>
            </w:tcBorders>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PD ≥1</w:t>
            </w:r>
          </w:p>
        </w:tc>
      </w:tr>
      <w:tr>
        <w:trPr>
          <w:trHeight w:val="278"/>
        </w:trPr>
        <w:tc>
          <w:tcPr>
            <w:tcW w:w="1086" w:type="pct"/>
            <w:tcBorders>
              <w:lef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MCP joints</w:t>
            </w:r>
          </w:p>
        </w:tc>
        <w:tc>
          <w:tcPr>
            <w:tcW w:w="798" w:type="pct"/>
            <w:tcBorders>
              <w:top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 20)</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100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 100)</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0.50</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(11; 52)</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(93; 99)</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0.62</w:t>
            </w:r>
          </w:p>
        </w:tc>
      </w:tr>
      <w:tr>
        <w:trPr>
          <w:trHeight w:val="472"/>
        </w:trPr>
        <w:tc>
          <w:tcPr>
            <w:tcW w:w="1086" w:type="pct"/>
            <w:tcBorders>
              <w:top w:val="nil"/>
              <w:left w:val="nil"/>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Wrist joints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13</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 32)</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96</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(90; 98)</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0.55</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 37)</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99</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(94;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0.58</w:t>
            </w:r>
          </w:p>
        </w:tc>
      </w:tr>
      <w:tr>
        <w:trPr>
          <w:trHeight w:val="74"/>
        </w:trPr>
        <w:tc>
          <w:tcPr>
            <w:tcW w:w="1086" w:type="pct"/>
            <w:tcBorders>
              <w:left w:val="nil"/>
              <w:right w:val="nil"/>
            </w:tcBorders>
          </w:tcPr>
          <w:p>
            <w:pPr>
              <w:spacing w:after="0" w:line="360" w:lineRule="auto"/>
              <w:rPr>
                <w:rFonts w:ascii="Times New Roman" w:hAnsi="Times New Roman"/>
                <w:sz w:val="24"/>
                <w:szCs w:val="24"/>
                <w:lang w:val="en-US"/>
              </w:rPr>
            </w:pPr>
            <w:r>
              <w:rPr>
                <w:rFonts w:ascii="Times New Roman" w:hAnsi="Times New Roman"/>
                <w:sz w:val="24"/>
                <w:szCs w:val="24"/>
                <w:lang w:val="en-US"/>
              </w:rPr>
              <w:t>MTP joints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46</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(23; 71)</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83</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(77; 88)</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0.65</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(18; 64)</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(95; 99)</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0.68</w:t>
            </w:r>
          </w:p>
        </w:tc>
      </w:tr>
      <w:tr>
        <w:trPr>
          <w:trHeight w:val="278"/>
        </w:trPr>
        <w:tc>
          <w:tcPr>
            <w:tcW w:w="1086" w:type="pct"/>
            <w:tcBorders>
              <w:left w:val="nil"/>
              <w:right w:val="nil"/>
            </w:tcBorders>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Tenosynovitis</w:t>
            </w:r>
          </w:p>
        </w:tc>
        <w:tc>
          <w:tcPr>
            <w:tcW w:w="1596" w:type="pct"/>
            <w:gridSpan w:val="2"/>
            <w:tcBorders>
              <w:top w:val="nil"/>
              <w:left w:val="nil"/>
              <w:bottom w:val="nil"/>
              <w:right w:val="nil"/>
            </w:tcBorders>
            <w:noWrap/>
          </w:tcPr>
          <w:p>
            <w:pPr>
              <w:spacing w:after="0" w:line="360" w:lineRule="auto"/>
              <w:rPr>
                <w:rFonts w:ascii="Times New Roman" w:hAnsi="Times New Roman"/>
                <w:i/>
                <w:color w:val="000000"/>
                <w:sz w:val="24"/>
                <w:szCs w:val="24"/>
                <w:lang w:val="en-US"/>
              </w:rPr>
            </w:pPr>
            <w:r>
              <w:rPr>
                <w:rFonts w:ascii="Times New Roman" w:hAnsi="Times New Roman"/>
                <w:i/>
                <w:color w:val="000000"/>
                <w:sz w:val="24"/>
                <w:szCs w:val="24"/>
                <w:lang w:val="en-US"/>
              </w:rPr>
              <w:t>GS ≥1</w:t>
            </w:r>
          </w:p>
        </w:tc>
        <w:tc>
          <w:tcPr>
            <w:tcW w:w="613" w:type="pct"/>
            <w:tcBorders>
              <w:top w:val="nil"/>
              <w:left w:val="nil"/>
              <w:bottom w:val="nil"/>
              <w:right w:val="nil"/>
            </w:tcBorders>
            <w:noWrap/>
          </w:tcPr>
          <w:p>
            <w:pPr>
              <w:spacing w:after="0" w:line="360" w:lineRule="auto"/>
              <w:rPr>
                <w:rFonts w:ascii="Times New Roman" w:hAnsi="Times New Roman"/>
                <w:i/>
                <w:color w:val="000000"/>
                <w:sz w:val="24"/>
                <w:szCs w:val="24"/>
                <w:lang w:val="en-US"/>
              </w:rPr>
            </w:pPr>
          </w:p>
        </w:tc>
        <w:tc>
          <w:tcPr>
            <w:tcW w:w="1704" w:type="pct"/>
            <w:gridSpan w:val="3"/>
            <w:tcBorders>
              <w:top w:val="nil"/>
              <w:left w:val="nil"/>
              <w:bottom w:val="nil"/>
              <w:right w:val="nil"/>
            </w:tcBorders>
          </w:tcPr>
          <w:p>
            <w:pPr>
              <w:spacing w:after="0" w:line="360" w:lineRule="auto"/>
              <w:rPr>
                <w:rFonts w:ascii="Times New Roman" w:eastAsia="Times New Roman" w:hAnsi="Times New Roman"/>
                <w:i/>
                <w:color w:val="000000"/>
                <w:sz w:val="24"/>
                <w:szCs w:val="24"/>
                <w:lang w:val="en-US" w:eastAsia="en-GB"/>
              </w:rPr>
            </w:pPr>
            <w:r>
              <w:rPr>
                <w:rFonts w:ascii="Times New Roman" w:hAnsi="Times New Roman"/>
                <w:i/>
                <w:color w:val="000000"/>
                <w:sz w:val="24"/>
                <w:szCs w:val="24"/>
                <w:lang w:val="en-US"/>
              </w:rPr>
              <w:t>PD ≥1</w:t>
            </w:r>
          </w:p>
        </w:tc>
      </w:tr>
      <w:tr>
        <w:trPr>
          <w:trHeight w:val="278"/>
        </w:trPr>
        <w:tc>
          <w:tcPr>
            <w:tcW w:w="1086" w:type="pct"/>
            <w:tcBorders>
              <w:left w:val="nil"/>
              <w:right w:val="nil"/>
            </w:tcBorders>
          </w:tcPr>
          <w:p>
            <w:pPr>
              <w:spacing w:after="0" w:line="360" w:lineRule="auto"/>
              <w:rPr>
                <w:rFonts w:ascii="Times New Roman" w:hAnsi="Times New Roman"/>
                <w:color w:val="000000"/>
                <w:sz w:val="24"/>
                <w:szCs w:val="24"/>
                <w:lang w:val="en-US"/>
              </w:rPr>
            </w:pPr>
            <w:r>
              <w:rPr>
                <w:rFonts w:ascii="Times New Roman" w:hAnsi="Times New Roman"/>
                <w:color w:val="000000"/>
                <w:sz w:val="24"/>
                <w:szCs w:val="24"/>
                <w:lang w:val="en-US"/>
              </w:rPr>
              <w:t>Extensor wrist tendons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(22; 78)</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(72; 87)</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0.65</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(14; 69)</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98</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(94;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0.68</w:t>
            </w:r>
          </w:p>
        </w:tc>
      </w:tr>
      <w:tr>
        <w:trPr>
          <w:trHeight w:val="278"/>
        </w:trPr>
        <w:tc>
          <w:tcPr>
            <w:tcW w:w="1086" w:type="pct"/>
            <w:tcBorders>
              <w:left w:val="nil"/>
              <w:right w:val="nil"/>
            </w:tcBorders>
          </w:tcPr>
          <w:p>
            <w:pPr>
              <w:spacing w:after="0" w:line="360" w:lineRule="auto"/>
              <w:rPr>
                <w:rFonts w:ascii="Times New Roman" w:hAnsi="Times New Roman"/>
                <w:color w:val="000000"/>
                <w:sz w:val="24"/>
                <w:szCs w:val="24"/>
                <w:lang w:val="en-US"/>
              </w:rPr>
            </w:pPr>
            <w:r>
              <w:rPr>
                <w:rFonts w:ascii="Times New Roman" w:hAnsi="Times New Roman"/>
                <w:color w:val="000000"/>
                <w:sz w:val="24"/>
                <w:szCs w:val="24"/>
                <w:lang w:val="en-US"/>
              </w:rPr>
              <w:t>Flexor wrist tendons</w:t>
            </w:r>
          </w:p>
        </w:tc>
        <w:tc>
          <w:tcPr>
            <w:tcW w:w="798"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 66)</w:t>
            </w:r>
          </w:p>
        </w:tc>
        <w:tc>
          <w:tcPr>
            <w:tcW w:w="799"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(93; 99)</w:t>
            </w:r>
          </w:p>
        </w:tc>
        <w:tc>
          <w:tcPr>
            <w:tcW w:w="613" w:type="pct"/>
            <w:tcBorders>
              <w:top w:val="nil"/>
              <w:left w:val="nil"/>
              <w:bottom w:val="nil"/>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0.49</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 66)</w:t>
            </w:r>
          </w:p>
        </w:tc>
        <w:tc>
          <w:tcPr>
            <w:tcW w:w="669"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100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 100)</w:t>
            </w:r>
          </w:p>
        </w:tc>
        <w:tc>
          <w:tcPr>
            <w:tcW w:w="366" w:type="pct"/>
            <w:tcBorders>
              <w:top w:val="nil"/>
              <w:left w:val="nil"/>
              <w:bottom w:val="nil"/>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0.50</w:t>
            </w:r>
          </w:p>
        </w:tc>
      </w:tr>
      <w:tr>
        <w:trPr>
          <w:trHeight w:val="709"/>
        </w:trPr>
        <w:tc>
          <w:tcPr>
            <w:tcW w:w="1086" w:type="pct"/>
            <w:tcBorders>
              <w:left w:val="nil"/>
              <w:bottom w:val="single" w:sz="4" w:space="0" w:color="auto"/>
              <w:right w:val="nil"/>
            </w:tcBorders>
          </w:tcPr>
          <w:p>
            <w:pPr>
              <w:spacing w:after="0" w:line="360" w:lineRule="auto"/>
              <w:rPr>
                <w:rFonts w:ascii="Times New Roman" w:hAnsi="Times New Roman"/>
                <w:color w:val="000000"/>
                <w:sz w:val="24"/>
                <w:szCs w:val="24"/>
                <w:lang w:val="en-US"/>
              </w:rPr>
            </w:pPr>
            <w:r>
              <w:rPr>
                <w:rFonts w:ascii="Times New Roman" w:hAnsi="Times New Roman"/>
                <w:color w:val="000000"/>
                <w:sz w:val="24"/>
                <w:szCs w:val="24"/>
                <w:lang w:val="en-US"/>
              </w:rPr>
              <w:t>Flexor MCP tendons</w:t>
            </w:r>
          </w:p>
        </w:tc>
        <w:tc>
          <w:tcPr>
            <w:tcW w:w="798" w:type="pct"/>
            <w:tcBorders>
              <w:top w:val="nil"/>
              <w:left w:val="nil"/>
              <w:bottom w:val="single" w:sz="4" w:space="0" w:color="auto"/>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50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(28; 72)</w:t>
            </w:r>
          </w:p>
        </w:tc>
        <w:tc>
          <w:tcPr>
            <w:tcW w:w="799" w:type="pct"/>
            <w:tcBorders>
              <w:top w:val="nil"/>
              <w:left w:val="nil"/>
              <w:bottom w:val="single" w:sz="4" w:space="0" w:color="auto"/>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89</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(83; 93)</w:t>
            </w:r>
          </w:p>
        </w:tc>
        <w:tc>
          <w:tcPr>
            <w:tcW w:w="613" w:type="pct"/>
            <w:tcBorders>
              <w:top w:val="nil"/>
              <w:left w:val="nil"/>
              <w:bottom w:val="single" w:sz="4" w:space="0" w:color="auto"/>
              <w:right w:val="nil"/>
            </w:tcBorders>
            <w:noWrap/>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0.69</w:t>
            </w:r>
          </w:p>
        </w:tc>
        <w:tc>
          <w:tcPr>
            <w:tcW w:w="669" w:type="pct"/>
            <w:tcBorders>
              <w:top w:val="nil"/>
              <w:left w:val="nil"/>
              <w:bottom w:val="single" w:sz="4" w:space="0" w:color="auto"/>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13</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(3; 36)</w:t>
            </w:r>
          </w:p>
        </w:tc>
        <w:tc>
          <w:tcPr>
            <w:tcW w:w="669" w:type="pct"/>
            <w:tcBorders>
              <w:top w:val="nil"/>
              <w:left w:val="nil"/>
              <w:bottom w:val="single" w:sz="4" w:space="0" w:color="auto"/>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100</w:t>
            </w:r>
          </w:p>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(97; 100)</w:t>
            </w:r>
          </w:p>
        </w:tc>
        <w:tc>
          <w:tcPr>
            <w:tcW w:w="366" w:type="pct"/>
            <w:tcBorders>
              <w:top w:val="nil"/>
              <w:left w:val="nil"/>
              <w:bottom w:val="single" w:sz="4" w:space="0" w:color="auto"/>
              <w:right w:val="nil"/>
            </w:tcBorders>
          </w:tcPr>
          <w:p>
            <w:pPr>
              <w:spacing w:after="0" w:line="360" w:lineRule="auto"/>
              <w:rPr>
                <w:rFonts w:ascii="Times New Roman" w:eastAsia="Times New Roman" w:hAnsi="Times New Roman"/>
                <w:sz w:val="24"/>
                <w:szCs w:val="24"/>
                <w:lang w:val="en-US" w:eastAsia="en-GB"/>
              </w:rPr>
            </w:pPr>
            <w:r>
              <w:rPr>
                <w:rFonts w:ascii="Times New Roman" w:eastAsia="Times New Roman" w:hAnsi="Times New Roman"/>
                <w:sz w:val="24"/>
                <w:szCs w:val="24"/>
                <w:lang w:val="en-US" w:eastAsia="en-GB"/>
              </w:rPr>
              <w:t>0.56</w:t>
            </w:r>
          </w:p>
        </w:tc>
      </w:tr>
    </w:tbl>
    <w:p>
      <w:pPr>
        <w:rPr>
          <w:rFonts w:ascii="Times New Roman" w:eastAsia="PMingLiU" w:hAnsi="Times New Roman" w:cs="Times New Roman"/>
          <w:b/>
          <w:sz w:val="24"/>
          <w:szCs w:val="24"/>
          <w:lang w:eastAsia="nl-NL"/>
        </w:rPr>
      </w:pPr>
      <w:r>
        <w:rPr>
          <w:rFonts w:ascii="Times New Roman" w:hAnsi="Times New Roman" w:cs="Times New Roman"/>
          <w:i/>
          <w:sz w:val="24"/>
          <w:szCs w:val="24"/>
        </w:rPr>
        <w:br w:type="page"/>
      </w:r>
    </w:p>
    <w:p>
      <w:pPr>
        <w:pStyle w:val="Head3Wouter"/>
        <w:spacing w:before="0" w:line="360" w:lineRule="auto"/>
        <w:rPr>
          <w:rFonts w:cs="Times New Roman"/>
          <w:b w:val="0"/>
          <w:i/>
          <w:color w:val="auto"/>
        </w:rPr>
      </w:pPr>
      <w:r>
        <w:rPr>
          <w:rFonts w:cs="Times New Roman"/>
          <w:color w:val="auto"/>
          <w:lang w:val="en-GB"/>
        </w:rPr>
        <w:lastRenderedPageBreak/>
        <w:t xml:space="preserve">Table S6. </w:t>
      </w:r>
      <w:r>
        <w:rPr>
          <w:rFonts w:cs="Times New Roman"/>
          <w:b w:val="0"/>
          <w:color w:val="auto"/>
          <w:lang w:val="en-GB"/>
        </w:rPr>
        <w:t xml:space="preserve">Test characteristics per joint for Grey-scale (EULAR OMERACT definition) and power Doppler Ultrasound-detected synovitis with MRI as a reference. </w:t>
      </w:r>
    </w:p>
    <w:tbl>
      <w:tblPr>
        <w:tblW w:w="5000" w:type="pct"/>
        <w:tblCellMar>
          <w:left w:w="70" w:type="dxa"/>
          <w:right w:w="70" w:type="dxa"/>
        </w:tblCellMar>
        <w:tblLook w:val="00A0" w:firstRow="1" w:lastRow="0" w:firstColumn="1" w:lastColumn="0" w:noHBand="0" w:noVBand="0"/>
      </w:tblPr>
      <w:tblGrid>
        <w:gridCol w:w="1467"/>
        <w:gridCol w:w="1676"/>
        <w:gridCol w:w="1395"/>
        <w:gridCol w:w="978"/>
        <w:gridCol w:w="1395"/>
        <w:gridCol w:w="1267"/>
        <w:gridCol w:w="848"/>
      </w:tblGrid>
      <w:tr>
        <w:trPr>
          <w:trHeight w:val="283"/>
        </w:trPr>
        <w:tc>
          <w:tcPr>
            <w:tcW w:w="812" w:type="pct"/>
            <w:tcBorders>
              <w:top w:val="single" w:sz="18" w:space="0" w:color="auto"/>
              <w:left w:val="nil"/>
              <w:bottom w:val="single" w:sz="4" w:space="0" w:color="auto"/>
              <w:right w:val="nil"/>
            </w:tcBorders>
          </w:tcPr>
          <w:p>
            <w:pPr>
              <w:spacing w:afterLines="26" w:after="62" w:line="360" w:lineRule="auto"/>
              <w:rPr>
                <w:rFonts w:ascii="Times New Roman" w:eastAsia="Calibri" w:hAnsi="Times New Roman" w:cs="Times New Roman"/>
                <w:b/>
                <w:color w:val="000000"/>
                <w:sz w:val="24"/>
                <w:szCs w:val="24"/>
                <w:lang w:val="en-US"/>
              </w:rPr>
            </w:pPr>
          </w:p>
        </w:tc>
        <w:tc>
          <w:tcPr>
            <w:tcW w:w="928" w:type="pct"/>
            <w:tcBorders>
              <w:top w:val="single" w:sz="18" w:space="0" w:color="auto"/>
              <w:left w:val="nil"/>
              <w:bottom w:val="single" w:sz="4" w:space="0" w:color="auto"/>
              <w:right w:val="nil"/>
            </w:tcBorders>
            <w:noWrap/>
            <w:vAlign w:val="center"/>
            <w:hideMark/>
          </w:tcPr>
          <w:p>
            <w:pPr>
              <w:spacing w:afterLines="26" w:after="62" w:line="360" w:lineRule="auto"/>
              <w:rPr>
                <w:rFonts w:ascii="Times New Roman" w:eastAsia="Calibri" w:hAnsi="Times New Roman" w:cs="Times New Roman"/>
                <w:b/>
                <w:color w:val="000000"/>
                <w:sz w:val="24"/>
                <w:szCs w:val="24"/>
                <w:lang w:val="en-US"/>
              </w:rPr>
            </w:pPr>
            <w:r>
              <w:rPr>
                <w:rFonts w:ascii="Times New Roman" w:hAnsi="Times New Roman" w:cs="Times New Roman"/>
                <w:b/>
                <w:color w:val="000000"/>
                <w:sz w:val="24"/>
                <w:szCs w:val="24"/>
                <w:lang w:val="en-US"/>
              </w:rPr>
              <w:t>Sensitivity</w:t>
            </w:r>
          </w:p>
        </w:tc>
        <w:tc>
          <w:tcPr>
            <w:tcW w:w="773" w:type="pct"/>
            <w:tcBorders>
              <w:top w:val="single" w:sz="18" w:space="0" w:color="auto"/>
              <w:left w:val="nil"/>
              <w:bottom w:val="single" w:sz="4" w:space="0" w:color="auto"/>
              <w:right w:val="nil"/>
            </w:tcBorders>
            <w:noWrap/>
            <w:vAlign w:val="center"/>
            <w:hideMark/>
          </w:tcPr>
          <w:p>
            <w:pPr>
              <w:spacing w:afterLines="26" w:after="62" w:line="360" w:lineRule="auto"/>
              <w:rPr>
                <w:rFonts w:ascii="Times New Roman" w:eastAsia="Calibri" w:hAnsi="Times New Roman" w:cs="Times New Roman"/>
                <w:b/>
                <w:color w:val="000000"/>
                <w:sz w:val="24"/>
                <w:szCs w:val="24"/>
                <w:lang w:val="en-US"/>
              </w:rPr>
            </w:pPr>
            <w:r>
              <w:rPr>
                <w:rFonts w:ascii="Times New Roman" w:hAnsi="Times New Roman" w:cs="Times New Roman"/>
                <w:b/>
                <w:color w:val="000000"/>
                <w:sz w:val="24"/>
                <w:szCs w:val="24"/>
                <w:lang w:val="en-US"/>
              </w:rPr>
              <w:t>Specificity</w:t>
            </w:r>
          </w:p>
        </w:tc>
        <w:tc>
          <w:tcPr>
            <w:tcW w:w="542" w:type="pct"/>
            <w:tcBorders>
              <w:top w:val="single" w:sz="18" w:space="0" w:color="auto"/>
              <w:left w:val="nil"/>
              <w:bottom w:val="single" w:sz="2" w:space="0" w:color="auto"/>
              <w:right w:val="nil"/>
            </w:tcBorders>
            <w:noWrap/>
            <w:vAlign w:val="center"/>
            <w:hideMark/>
          </w:tcPr>
          <w:p>
            <w:pPr>
              <w:spacing w:afterLines="26" w:after="62" w:line="360" w:lineRule="auto"/>
              <w:rPr>
                <w:rFonts w:ascii="Times New Roman" w:eastAsia="Calibri" w:hAnsi="Times New Roman" w:cs="Times New Roman"/>
                <w:b/>
                <w:color w:val="000000"/>
                <w:sz w:val="24"/>
                <w:szCs w:val="24"/>
                <w:lang w:val="en-US"/>
              </w:rPr>
            </w:pPr>
            <w:r>
              <w:rPr>
                <w:rFonts w:ascii="Times New Roman" w:hAnsi="Times New Roman" w:cs="Times New Roman"/>
                <w:b/>
                <w:color w:val="000000"/>
                <w:sz w:val="24"/>
                <w:szCs w:val="24"/>
                <w:lang w:val="en-US"/>
              </w:rPr>
              <w:t xml:space="preserve">AUC </w:t>
            </w:r>
          </w:p>
        </w:tc>
        <w:tc>
          <w:tcPr>
            <w:tcW w:w="773" w:type="pct"/>
            <w:tcBorders>
              <w:top w:val="single" w:sz="18" w:space="0" w:color="auto"/>
              <w:left w:val="nil"/>
              <w:bottom w:val="single" w:sz="2" w:space="0" w:color="auto"/>
              <w:right w:val="nil"/>
            </w:tcBorders>
            <w:vAlign w:val="center"/>
            <w:hideMark/>
          </w:tcPr>
          <w:p>
            <w:pPr>
              <w:spacing w:afterLines="26" w:after="62" w:line="360" w:lineRule="auto"/>
              <w:rPr>
                <w:rFonts w:ascii="Times New Roman" w:eastAsia="Calibri" w:hAnsi="Times New Roman" w:cs="Times New Roman"/>
                <w:b/>
                <w:color w:val="000000"/>
                <w:sz w:val="24"/>
                <w:szCs w:val="24"/>
                <w:lang w:val="en-US"/>
              </w:rPr>
            </w:pPr>
            <w:r>
              <w:rPr>
                <w:rFonts w:ascii="Times New Roman" w:hAnsi="Times New Roman" w:cs="Times New Roman"/>
                <w:b/>
                <w:color w:val="000000"/>
                <w:sz w:val="24"/>
                <w:szCs w:val="24"/>
                <w:lang w:val="en-US"/>
              </w:rPr>
              <w:t>Sensitivity</w:t>
            </w:r>
          </w:p>
        </w:tc>
        <w:tc>
          <w:tcPr>
            <w:tcW w:w="702" w:type="pct"/>
            <w:tcBorders>
              <w:top w:val="single" w:sz="18" w:space="0" w:color="auto"/>
              <w:left w:val="nil"/>
              <w:bottom w:val="single" w:sz="2" w:space="0" w:color="auto"/>
              <w:right w:val="nil"/>
            </w:tcBorders>
            <w:vAlign w:val="center"/>
            <w:hideMark/>
          </w:tcPr>
          <w:p>
            <w:pPr>
              <w:spacing w:afterLines="26" w:after="62" w:line="360" w:lineRule="auto"/>
              <w:rPr>
                <w:rFonts w:ascii="Times New Roman" w:eastAsia="Calibri" w:hAnsi="Times New Roman" w:cs="Times New Roman"/>
                <w:b/>
                <w:color w:val="000000"/>
                <w:sz w:val="24"/>
                <w:szCs w:val="24"/>
                <w:lang w:val="en-US"/>
              </w:rPr>
            </w:pPr>
            <w:r>
              <w:rPr>
                <w:rFonts w:ascii="Times New Roman" w:hAnsi="Times New Roman" w:cs="Times New Roman"/>
                <w:b/>
                <w:color w:val="000000"/>
                <w:sz w:val="24"/>
                <w:szCs w:val="24"/>
                <w:lang w:val="en-US"/>
              </w:rPr>
              <w:t>Specificity</w:t>
            </w:r>
          </w:p>
        </w:tc>
        <w:tc>
          <w:tcPr>
            <w:tcW w:w="470" w:type="pct"/>
            <w:tcBorders>
              <w:top w:val="single" w:sz="18" w:space="0" w:color="auto"/>
              <w:left w:val="nil"/>
              <w:bottom w:val="single" w:sz="2" w:space="0" w:color="auto"/>
              <w:right w:val="nil"/>
            </w:tcBorders>
            <w:vAlign w:val="center"/>
            <w:hideMark/>
          </w:tcPr>
          <w:p>
            <w:pPr>
              <w:spacing w:afterLines="26" w:after="62" w:line="360" w:lineRule="auto"/>
              <w:rPr>
                <w:rFonts w:ascii="Times New Roman" w:eastAsia="Calibri" w:hAnsi="Times New Roman" w:cs="Times New Roman"/>
                <w:b/>
                <w:color w:val="000000"/>
                <w:sz w:val="24"/>
                <w:szCs w:val="24"/>
                <w:lang w:val="en-US"/>
              </w:rPr>
            </w:pPr>
            <w:r>
              <w:rPr>
                <w:rFonts w:ascii="Times New Roman" w:hAnsi="Times New Roman" w:cs="Times New Roman"/>
                <w:b/>
                <w:color w:val="000000"/>
                <w:sz w:val="24"/>
                <w:szCs w:val="24"/>
                <w:lang w:val="en-US"/>
              </w:rPr>
              <w:t xml:space="preserve">AUC </w:t>
            </w:r>
          </w:p>
        </w:tc>
      </w:tr>
      <w:tr>
        <w:trPr>
          <w:trHeight w:val="343"/>
        </w:trPr>
        <w:tc>
          <w:tcPr>
            <w:tcW w:w="812" w:type="pct"/>
            <w:tcBorders>
              <w:top w:val="single" w:sz="4" w:space="0" w:color="auto"/>
              <w:left w:val="nil"/>
              <w:right w:val="nil"/>
            </w:tcBorders>
            <w:hideMark/>
          </w:tcPr>
          <w:p>
            <w:pPr>
              <w:spacing w:afterLines="26" w:after="62" w:line="360" w:lineRule="auto"/>
              <w:rPr>
                <w:rFonts w:ascii="Times New Roman" w:eastAsia="Calibri" w:hAnsi="Times New Roman" w:cs="Times New Roman"/>
                <w:i/>
                <w:color w:val="000000"/>
                <w:sz w:val="24"/>
                <w:szCs w:val="24"/>
                <w:lang w:val="de-DE"/>
              </w:rPr>
            </w:pPr>
            <w:r>
              <w:rPr>
                <w:rFonts w:ascii="Times New Roman" w:hAnsi="Times New Roman" w:cs="Times New Roman"/>
                <w:i/>
                <w:color w:val="000000"/>
                <w:sz w:val="24"/>
                <w:szCs w:val="24"/>
                <w:lang w:val="en-US"/>
              </w:rPr>
              <w:t xml:space="preserve">Synovitis </w:t>
            </w:r>
          </w:p>
        </w:tc>
        <w:tc>
          <w:tcPr>
            <w:tcW w:w="1701" w:type="pct"/>
            <w:gridSpan w:val="2"/>
            <w:tcBorders>
              <w:top w:val="single" w:sz="4" w:space="0" w:color="auto"/>
              <w:left w:val="nil"/>
              <w:right w:val="nil"/>
            </w:tcBorders>
            <w:hideMark/>
          </w:tcPr>
          <w:p>
            <w:pPr>
              <w:spacing w:afterLines="26" w:after="62" w:line="360" w:lineRule="auto"/>
              <w:rPr>
                <w:rFonts w:ascii="Times New Roman" w:eastAsia="Calibri" w:hAnsi="Times New Roman" w:cs="Times New Roman"/>
                <w:i/>
                <w:color w:val="000000"/>
                <w:sz w:val="24"/>
                <w:szCs w:val="24"/>
                <w:lang w:val="de-DE"/>
              </w:rPr>
            </w:pPr>
            <w:r>
              <w:rPr>
                <w:rFonts w:ascii="Times New Roman" w:hAnsi="Times New Roman" w:cs="Times New Roman"/>
                <w:i/>
                <w:color w:val="000000"/>
                <w:sz w:val="24"/>
                <w:szCs w:val="24"/>
                <w:lang w:val="en-US"/>
              </w:rPr>
              <w:t>GS ≥1 (EULAR OMERACT)</w:t>
            </w:r>
          </w:p>
        </w:tc>
        <w:tc>
          <w:tcPr>
            <w:tcW w:w="542" w:type="pct"/>
            <w:noWrap/>
            <w:vAlign w:val="center"/>
          </w:tcPr>
          <w:p>
            <w:pPr>
              <w:spacing w:afterLines="26" w:after="62" w:line="360" w:lineRule="auto"/>
              <w:rPr>
                <w:rFonts w:ascii="Times New Roman" w:eastAsia="Calibri" w:hAnsi="Times New Roman" w:cs="Times New Roman"/>
                <w:i/>
                <w:color w:val="000000"/>
                <w:sz w:val="24"/>
                <w:szCs w:val="24"/>
                <w:lang w:val="en-US"/>
              </w:rPr>
            </w:pPr>
          </w:p>
        </w:tc>
        <w:tc>
          <w:tcPr>
            <w:tcW w:w="1945" w:type="pct"/>
            <w:gridSpan w:val="3"/>
            <w:hideMark/>
          </w:tcPr>
          <w:p>
            <w:pPr>
              <w:spacing w:afterLines="26" w:after="62" w:line="360" w:lineRule="auto"/>
              <w:rPr>
                <w:rFonts w:ascii="Times New Roman" w:eastAsia="Calibri" w:hAnsi="Times New Roman" w:cs="Times New Roman"/>
                <w:i/>
                <w:color w:val="000000"/>
                <w:sz w:val="24"/>
                <w:szCs w:val="24"/>
                <w:lang w:val="en-US"/>
              </w:rPr>
            </w:pPr>
            <w:r>
              <w:rPr>
                <w:rFonts w:ascii="Times New Roman" w:hAnsi="Times New Roman" w:cs="Times New Roman"/>
                <w:i/>
                <w:color w:val="000000"/>
                <w:sz w:val="24"/>
                <w:szCs w:val="24"/>
                <w:lang w:val="en-US"/>
              </w:rPr>
              <w:t>Synovitis PD ≥1</w:t>
            </w:r>
          </w:p>
        </w:tc>
      </w:tr>
      <w:tr>
        <w:trPr>
          <w:trHeight w:val="343"/>
        </w:trPr>
        <w:tc>
          <w:tcPr>
            <w:tcW w:w="2513" w:type="pct"/>
            <w:gridSpan w:val="3"/>
            <w:tcBorders>
              <w:left w:val="nil"/>
              <w:bottom w:val="nil"/>
              <w:right w:val="nil"/>
            </w:tcBorders>
          </w:tcPr>
          <w:p>
            <w:pPr>
              <w:spacing w:afterLines="26" w:after="62" w:line="360" w:lineRule="auto"/>
              <w:rPr>
                <w:rFonts w:ascii="Times New Roman" w:hAnsi="Times New Roman" w:cs="Times New Roman"/>
                <w:b/>
                <w:i/>
                <w:color w:val="000000"/>
                <w:sz w:val="24"/>
                <w:szCs w:val="24"/>
                <w:lang w:val="en-US"/>
              </w:rPr>
            </w:pPr>
            <w:r>
              <w:rPr>
                <w:rFonts w:ascii="Times New Roman" w:hAnsi="Times New Roman" w:cs="Times New Roman"/>
                <w:b/>
                <w:color w:val="000000"/>
                <w:sz w:val="24"/>
                <w:szCs w:val="24"/>
                <w:lang w:val="en-US"/>
              </w:rPr>
              <w:t>MCP joints</w:t>
            </w:r>
          </w:p>
        </w:tc>
        <w:tc>
          <w:tcPr>
            <w:tcW w:w="542" w:type="pct"/>
            <w:noWrap/>
            <w:vAlign w:val="center"/>
          </w:tcPr>
          <w:p>
            <w:pPr>
              <w:spacing w:afterLines="26" w:after="62" w:line="360" w:lineRule="auto"/>
              <w:rPr>
                <w:rFonts w:ascii="Times New Roman" w:eastAsia="Calibri" w:hAnsi="Times New Roman" w:cs="Times New Roman"/>
                <w:b/>
                <w:i/>
                <w:color w:val="000000"/>
                <w:sz w:val="24"/>
                <w:szCs w:val="24"/>
                <w:lang w:val="en-US"/>
              </w:rPr>
            </w:pPr>
          </w:p>
        </w:tc>
        <w:tc>
          <w:tcPr>
            <w:tcW w:w="1945" w:type="pct"/>
            <w:gridSpan w:val="3"/>
          </w:tcPr>
          <w:p>
            <w:pPr>
              <w:spacing w:afterLines="26" w:after="62" w:line="360" w:lineRule="auto"/>
              <w:rPr>
                <w:rFonts w:ascii="Times New Roman" w:hAnsi="Times New Roman" w:cs="Times New Roman"/>
                <w:b/>
                <w:i/>
                <w:color w:val="000000"/>
                <w:sz w:val="24"/>
                <w:szCs w:val="24"/>
                <w:lang w:val="en-US"/>
              </w:rPr>
            </w:pPr>
          </w:p>
        </w:tc>
      </w:tr>
      <w:tr>
        <w:trPr>
          <w:trHeight w:val="283"/>
        </w:trPr>
        <w:tc>
          <w:tcPr>
            <w:tcW w:w="812" w:type="pct"/>
            <w:hideMark/>
          </w:tcPr>
          <w:p>
            <w:pPr>
              <w:spacing w:afterLines="26" w:after="62" w:line="360" w:lineRule="auto"/>
              <w:rPr>
                <w:rFonts w:ascii="Times New Roman" w:eastAsia="Calibri" w:hAnsi="Times New Roman" w:cs="Times New Roman"/>
                <w:color w:val="000000"/>
                <w:sz w:val="24"/>
                <w:szCs w:val="24"/>
                <w:lang w:val="de-DE"/>
              </w:rPr>
            </w:pPr>
            <w:r>
              <w:rPr>
                <w:rFonts w:ascii="Times New Roman" w:hAnsi="Times New Roman" w:cs="Times New Roman"/>
                <w:color w:val="000000"/>
                <w:sz w:val="24"/>
                <w:szCs w:val="24"/>
                <w:lang w:val="en-US"/>
              </w:rPr>
              <w:t>MCP 2</w:t>
            </w:r>
          </w:p>
        </w:tc>
        <w:tc>
          <w:tcPr>
            <w:tcW w:w="928"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(29; 71)</w:t>
            </w:r>
          </w:p>
        </w:tc>
        <w:tc>
          <w:tcPr>
            <w:tcW w:w="77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(93; 100)</w:t>
            </w:r>
          </w:p>
        </w:tc>
        <w:tc>
          <w:tcPr>
            <w:tcW w:w="54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0.75</w:t>
            </w:r>
          </w:p>
        </w:tc>
        <w:tc>
          <w:tcPr>
            <w:tcW w:w="773"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63</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(41; 81)</w:t>
            </w:r>
          </w:p>
        </w:tc>
        <w:tc>
          <w:tcPr>
            <w:tcW w:w="702"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96</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(87; 99)</w:t>
            </w:r>
          </w:p>
        </w:tc>
        <w:tc>
          <w:tcPr>
            <w:tcW w:w="470"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0.77</w:t>
            </w:r>
          </w:p>
        </w:tc>
      </w:tr>
      <w:tr>
        <w:trPr>
          <w:trHeight w:val="283"/>
        </w:trPr>
        <w:tc>
          <w:tcPr>
            <w:tcW w:w="812" w:type="pct"/>
            <w:hideMark/>
          </w:tcPr>
          <w:p>
            <w:pPr>
              <w:spacing w:afterLines="26" w:after="62" w:line="360" w:lineRule="auto"/>
              <w:rPr>
                <w:rFonts w:ascii="Times New Roman" w:eastAsia="Calibri" w:hAnsi="Times New Roman" w:cs="Times New Roman"/>
                <w:color w:val="000000"/>
                <w:sz w:val="24"/>
                <w:szCs w:val="24"/>
                <w:lang w:val="de-DE"/>
              </w:rPr>
            </w:pPr>
            <w:r>
              <w:rPr>
                <w:rFonts w:ascii="Times New Roman" w:hAnsi="Times New Roman" w:cs="Times New Roman"/>
                <w:color w:val="000000"/>
                <w:sz w:val="24"/>
                <w:szCs w:val="24"/>
                <w:lang w:val="en-US"/>
              </w:rPr>
              <w:t>MCP 3</w:t>
            </w:r>
          </w:p>
        </w:tc>
        <w:tc>
          <w:tcPr>
            <w:tcW w:w="928"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(20; 64)</w:t>
            </w:r>
          </w:p>
        </w:tc>
        <w:tc>
          <w:tcPr>
            <w:tcW w:w="77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96</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(87; 99)</w:t>
            </w:r>
          </w:p>
        </w:tc>
        <w:tc>
          <w:tcPr>
            <w:tcW w:w="54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0.68</w:t>
            </w:r>
          </w:p>
        </w:tc>
        <w:tc>
          <w:tcPr>
            <w:tcW w:w="773"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56</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(33; 77)</w:t>
            </w:r>
          </w:p>
        </w:tc>
        <w:tc>
          <w:tcPr>
            <w:tcW w:w="702"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96</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(87; 99)</w:t>
            </w:r>
          </w:p>
        </w:tc>
        <w:tc>
          <w:tcPr>
            <w:tcW w:w="470"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0.76</w:t>
            </w:r>
          </w:p>
        </w:tc>
      </w:tr>
      <w:tr>
        <w:trPr>
          <w:trHeight w:val="283"/>
        </w:trPr>
        <w:tc>
          <w:tcPr>
            <w:tcW w:w="812" w:type="pct"/>
            <w:hideMark/>
          </w:tcPr>
          <w:p>
            <w:pPr>
              <w:spacing w:afterLines="26" w:after="62" w:line="360" w:lineRule="auto"/>
              <w:rPr>
                <w:rFonts w:ascii="Times New Roman" w:eastAsia="Calibri" w:hAnsi="Times New Roman" w:cs="Times New Roman"/>
                <w:color w:val="000000"/>
                <w:sz w:val="24"/>
                <w:szCs w:val="24"/>
                <w:lang w:val="de-DE"/>
              </w:rPr>
            </w:pPr>
            <w:r>
              <w:rPr>
                <w:rFonts w:ascii="Times New Roman" w:hAnsi="Times New Roman" w:cs="Times New Roman"/>
                <w:color w:val="000000"/>
                <w:sz w:val="24"/>
                <w:szCs w:val="24"/>
                <w:lang w:val="en-US"/>
              </w:rPr>
              <w:t>MCP 4</w:t>
            </w:r>
          </w:p>
        </w:tc>
        <w:tc>
          <w:tcPr>
            <w:tcW w:w="928"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 51)</w:t>
            </w:r>
          </w:p>
        </w:tc>
        <w:tc>
          <w:tcPr>
            <w:tcW w:w="77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97</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(88; 99)</w:t>
            </w:r>
          </w:p>
        </w:tc>
        <w:tc>
          <w:tcPr>
            <w:tcW w:w="54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0.58</w:t>
            </w:r>
          </w:p>
        </w:tc>
        <w:tc>
          <w:tcPr>
            <w:tcW w:w="773"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36</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(15; 65)</w:t>
            </w:r>
          </w:p>
        </w:tc>
        <w:tc>
          <w:tcPr>
            <w:tcW w:w="702"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97</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(88; 99)</w:t>
            </w:r>
          </w:p>
        </w:tc>
        <w:tc>
          <w:tcPr>
            <w:tcW w:w="470"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0.67</w:t>
            </w:r>
          </w:p>
        </w:tc>
      </w:tr>
      <w:tr>
        <w:trPr>
          <w:trHeight w:val="283"/>
        </w:trPr>
        <w:tc>
          <w:tcPr>
            <w:tcW w:w="812" w:type="pct"/>
            <w:hideMark/>
          </w:tcPr>
          <w:p>
            <w:pPr>
              <w:spacing w:afterLines="26" w:after="62" w:line="360" w:lineRule="auto"/>
              <w:rPr>
                <w:rFonts w:ascii="Times New Roman" w:eastAsia="Calibri" w:hAnsi="Times New Roman" w:cs="Times New Roman"/>
                <w:color w:val="000000"/>
                <w:sz w:val="24"/>
                <w:szCs w:val="24"/>
                <w:lang w:val="de-DE"/>
              </w:rPr>
            </w:pPr>
            <w:r>
              <w:rPr>
                <w:rFonts w:ascii="Times New Roman" w:hAnsi="Times New Roman" w:cs="Times New Roman"/>
                <w:color w:val="000000"/>
                <w:sz w:val="24"/>
                <w:szCs w:val="24"/>
                <w:lang w:val="en-US"/>
              </w:rPr>
              <w:t>MCP 5</w:t>
            </w:r>
          </w:p>
        </w:tc>
        <w:tc>
          <w:tcPr>
            <w:tcW w:w="928"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(14; 69)</w:t>
            </w:r>
          </w:p>
        </w:tc>
        <w:tc>
          <w:tcPr>
            <w:tcW w:w="77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54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0.69</w:t>
            </w:r>
          </w:p>
        </w:tc>
        <w:tc>
          <w:tcPr>
            <w:tcW w:w="773"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50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(24; 76)</w:t>
            </w:r>
          </w:p>
        </w:tc>
        <w:tc>
          <w:tcPr>
            <w:tcW w:w="702"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100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(94; 100)</w:t>
            </w:r>
          </w:p>
        </w:tc>
        <w:tc>
          <w:tcPr>
            <w:tcW w:w="470"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0.75</w:t>
            </w:r>
          </w:p>
        </w:tc>
      </w:tr>
      <w:tr>
        <w:trPr>
          <w:trHeight w:val="283"/>
        </w:trPr>
        <w:tc>
          <w:tcPr>
            <w:tcW w:w="1740" w:type="pct"/>
            <w:gridSpan w:val="2"/>
          </w:tcPr>
          <w:p>
            <w:pPr>
              <w:spacing w:after="26" w:line="360" w:lineRule="auto"/>
              <w:rPr>
                <w:rFonts w:ascii="Times New Roman" w:eastAsia="Times New Roman" w:hAnsi="Times New Roman" w:cs="Times New Roman"/>
                <w:b/>
                <w:color w:val="FF0000"/>
                <w:sz w:val="24"/>
                <w:szCs w:val="24"/>
                <w:lang w:val="de-DE" w:eastAsia="en-GB"/>
              </w:rPr>
            </w:pPr>
            <w:r>
              <w:rPr>
                <w:rFonts w:ascii="Times New Roman" w:hAnsi="Times New Roman" w:cs="Times New Roman"/>
                <w:b/>
                <w:color w:val="000000"/>
                <w:sz w:val="24"/>
                <w:szCs w:val="24"/>
                <w:lang w:val="en-US"/>
              </w:rPr>
              <w:t>Wrist joints</w:t>
            </w:r>
          </w:p>
        </w:tc>
        <w:tc>
          <w:tcPr>
            <w:tcW w:w="773" w:type="pct"/>
            <w:noWrap/>
          </w:tcPr>
          <w:p>
            <w:pPr>
              <w:spacing w:after="26" w:line="360" w:lineRule="auto"/>
              <w:rPr>
                <w:rFonts w:ascii="Times New Roman" w:eastAsia="Times New Roman" w:hAnsi="Times New Roman" w:cs="Times New Roman"/>
                <w:b/>
                <w:color w:val="FF0000"/>
                <w:sz w:val="24"/>
                <w:szCs w:val="24"/>
                <w:lang w:val="de-DE" w:eastAsia="en-GB"/>
              </w:rPr>
            </w:pPr>
          </w:p>
        </w:tc>
        <w:tc>
          <w:tcPr>
            <w:tcW w:w="542" w:type="pct"/>
            <w:noWrap/>
          </w:tcPr>
          <w:p>
            <w:pPr>
              <w:spacing w:after="26" w:line="360" w:lineRule="auto"/>
              <w:rPr>
                <w:rFonts w:ascii="Times New Roman" w:eastAsia="Times New Roman" w:hAnsi="Times New Roman" w:cs="Times New Roman"/>
                <w:b/>
                <w:color w:val="FF0000"/>
                <w:sz w:val="24"/>
                <w:szCs w:val="24"/>
                <w:lang w:val="de-DE" w:eastAsia="en-GB"/>
              </w:rPr>
            </w:pPr>
          </w:p>
        </w:tc>
        <w:tc>
          <w:tcPr>
            <w:tcW w:w="773" w:type="pct"/>
          </w:tcPr>
          <w:p>
            <w:pPr>
              <w:spacing w:after="26" w:line="360" w:lineRule="auto"/>
              <w:rPr>
                <w:rFonts w:ascii="Times New Roman" w:eastAsia="Times New Roman" w:hAnsi="Times New Roman" w:cs="Times New Roman"/>
                <w:b/>
                <w:color w:val="000000"/>
                <w:sz w:val="24"/>
                <w:szCs w:val="24"/>
                <w:lang w:val="de-DE" w:eastAsia="en-GB"/>
              </w:rPr>
            </w:pPr>
          </w:p>
        </w:tc>
        <w:tc>
          <w:tcPr>
            <w:tcW w:w="702" w:type="pct"/>
          </w:tcPr>
          <w:p>
            <w:pPr>
              <w:spacing w:after="26" w:line="360" w:lineRule="auto"/>
              <w:rPr>
                <w:rFonts w:ascii="Times New Roman" w:eastAsia="Times New Roman" w:hAnsi="Times New Roman" w:cs="Times New Roman"/>
                <w:b/>
                <w:color w:val="000000"/>
                <w:sz w:val="24"/>
                <w:szCs w:val="24"/>
                <w:lang w:val="de-DE" w:eastAsia="en-GB"/>
              </w:rPr>
            </w:pPr>
          </w:p>
        </w:tc>
        <w:tc>
          <w:tcPr>
            <w:tcW w:w="470" w:type="pct"/>
          </w:tcPr>
          <w:p>
            <w:pPr>
              <w:spacing w:after="26" w:line="360" w:lineRule="auto"/>
              <w:rPr>
                <w:rFonts w:ascii="Times New Roman" w:eastAsia="Times New Roman" w:hAnsi="Times New Roman" w:cs="Times New Roman"/>
                <w:b/>
                <w:color w:val="000000"/>
                <w:sz w:val="24"/>
                <w:szCs w:val="24"/>
                <w:lang w:val="de-DE" w:eastAsia="en-GB"/>
              </w:rPr>
            </w:pPr>
          </w:p>
        </w:tc>
      </w:tr>
      <w:tr>
        <w:trPr>
          <w:trHeight w:val="481"/>
        </w:trPr>
        <w:tc>
          <w:tcPr>
            <w:tcW w:w="812" w:type="pct"/>
            <w:hideMark/>
          </w:tcPr>
          <w:p>
            <w:pPr>
              <w:spacing w:afterLines="26" w:after="62" w:line="360" w:lineRule="auto"/>
              <w:rPr>
                <w:rFonts w:ascii="Times New Roman" w:eastAsia="Calibri" w:hAnsi="Times New Roman" w:cs="Times New Roman"/>
                <w:color w:val="000000"/>
                <w:sz w:val="24"/>
                <w:szCs w:val="24"/>
                <w:lang w:val="en-US"/>
              </w:rPr>
            </w:pPr>
            <w:r>
              <w:rPr>
                <w:rFonts w:ascii="Times New Roman" w:hAnsi="Times New Roman" w:cs="Times New Roman"/>
                <w:color w:val="000000"/>
                <w:sz w:val="24"/>
                <w:szCs w:val="24"/>
                <w:lang w:val="en-US"/>
              </w:rPr>
              <w:t>Radio-ulnar</w:t>
            </w:r>
          </w:p>
        </w:tc>
        <w:tc>
          <w:tcPr>
            <w:tcW w:w="928"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16</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 38)</w:t>
            </w:r>
          </w:p>
        </w:tc>
        <w:tc>
          <w:tcPr>
            <w:tcW w:w="77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(84; 98)</w:t>
            </w:r>
          </w:p>
        </w:tc>
        <w:tc>
          <w:tcPr>
            <w:tcW w:w="54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0.55</w:t>
            </w:r>
          </w:p>
        </w:tc>
        <w:tc>
          <w:tcPr>
            <w:tcW w:w="773"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25</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(11; 47)</w:t>
            </w:r>
          </w:p>
        </w:tc>
        <w:tc>
          <w:tcPr>
            <w:tcW w:w="702"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98</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(90; 100)</w:t>
            </w:r>
          </w:p>
        </w:tc>
        <w:tc>
          <w:tcPr>
            <w:tcW w:w="470" w:type="pct"/>
            <w:hideMark/>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0.62</w:t>
            </w:r>
          </w:p>
        </w:tc>
      </w:tr>
      <w:tr>
        <w:trPr>
          <w:trHeight w:val="481"/>
        </w:trPr>
        <w:tc>
          <w:tcPr>
            <w:tcW w:w="812" w:type="pct"/>
          </w:tcPr>
          <w:p>
            <w:pPr>
              <w:spacing w:afterLines="26" w:after="62"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Radio-carpal</w:t>
            </w:r>
          </w:p>
        </w:tc>
        <w:tc>
          <w:tcPr>
            <w:tcW w:w="928"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(22; 57)</w:t>
            </w:r>
          </w:p>
        </w:tc>
        <w:tc>
          <w:tcPr>
            <w:tcW w:w="77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(78; 96)</w:t>
            </w:r>
          </w:p>
        </w:tc>
        <w:tc>
          <w:tcPr>
            <w:tcW w:w="54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0.65</w:t>
            </w:r>
          </w:p>
        </w:tc>
        <w:tc>
          <w:tcPr>
            <w:tcW w:w="773"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30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(16; 48)</w:t>
            </w:r>
          </w:p>
        </w:tc>
        <w:tc>
          <w:tcPr>
            <w:tcW w:w="702"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98</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(88; 100)</w:t>
            </w:r>
          </w:p>
        </w:tc>
        <w:tc>
          <w:tcPr>
            <w:tcW w:w="470"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0.64</w:t>
            </w:r>
          </w:p>
        </w:tc>
      </w:tr>
      <w:tr>
        <w:trPr>
          <w:trHeight w:val="481"/>
        </w:trPr>
        <w:tc>
          <w:tcPr>
            <w:tcW w:w="812" w:type="pct"/>
          </w:tcPr>
          <w:p>
            <w:pPr>
              <w:spacing w:afterLines="26" w:after="62"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Inter-carpal</w:t>
            </w:r>
          </w:p>
        </w:tc>
        <w:tc>
          <w:tcPr>
            <w:tcW w:w="928"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(14; 48)</w:t>
            </w:r>
          </w:p>
        </w:tc>
        <w:tc>
          <w:tcPr>
            <w:tcW w:w="77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(88; 100)</w:t>
            </w:r>
          </w:p>
        </w:tc>
        <w:tc>
          <w:tcPr>
            <w:tcW w:w="54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0.63</w:t>
            </w:r>
          </w:p>
        </w:tc>
        <w:tc>
          <w:tcPr>
            <w:tcW w:w="773"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35</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(19; 54)</w:t>
            </w:r>
          </w:p>
        </w:tc>
        <w:tc>
          <w:tcPr>
            <w:tcW w:w="702"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100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(92; 100)</w:t>
            </w:r>
          </w:p>
        </w:tc>
        <w:tc>
          <w:tcPr>
            <w:tcW w:w="470"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0.67</w:t>
            </w:r>
          </w:p>
        </w:tc>
      </w:tr>
      <w:tr>
        <w:trPr>
          <w:trHeight w:val="283"/>
        </w:trPr>
        <w:tc>
          <w:tcPr>
            <w:tcW w:w="1740" w:type="pct"/>
            <w:gridSpan w:val="2"/>
            <w:hideMark/>
          </w:tcPr>
          <w:p>
            <w:pPr>
              <w:spacing w:after="26" w:line="360" w:lineRule="auto"/>
              <w:rPr>
                <w:rFonts w:ascii="Times New Roman" w:eastAsia="Times New Roman" w:hAnsi="Times New Roman" w:cs="Times New Roman"/>
                <w:b/>
                <w:color w:val="FF0000"/>
                <w:sz w:val="24"/>
                <w:szCs w:val="24"/>
                <w:lang w:val="de-DE" w:eastAsia="en-GB"/>
              </w:rPr>
            </w:pPr>
            <w:r>
              <w:rPr>
                <w:rFonts w:ascii="Times New Roman" w:hAnsi="Times New Roman" w:cs="Times New Roman"/>
                <w:b/>
                <w:color w:val="000000"/>
                <w:sz w:val="24"/>
                <w:szCs w:val="24"/>
                <w:lang w:val="en-US"/>
              </w:rPr>
              <w:t>MTP joints</w:t>
            </w:r>
          </w:p>
        </w:tc>
        <w:tc>
          <w:tcPr>
            <w:tcW w:w="773" w:type="pct"/>
            <w:noWrap/>
          </w:tcPr>
          <w:p>
            <w:pPr>
              <w:spacing w:after="26" w:line="360" w:lineRule="auto"/>
              <w:rPr>
                <w:rFonts w:ascii="Times New Roman" w:eastAsia="Times New Roman" w:hAnsi="Times New Roman" w:cs="Times New Roman"/>
                <w:b/>
                <w:color w:val="FF0000"/>
                <w:sz w:val="24"/>
                <w:szCs w:val="24"/>
                <w:lang w:val="de-DE" w:eastAsia="en-GB"/>
              </w:rPr>
            </w:pPr>
          </w:p>
        </w:tc>
        <w:tc>
          <w:tcPr>
            <w:tcW w:w="542" w:type="pct"/>
            <w:noWrap/>
          </w:tcPr>
          <w:p>
            <w:pPr>
              <w:spacing w:after="26" w:line="360" w:lineRule="auto"/>
              <w:rPr>
                <w:rFonts w:ascii="Times New Roman" w:eastAsia="Times New Roman" w:hAnsi="Times New Roman" w:cs="Times New Roman"/>
                <w:b/>
                <w:color w:val="FF0000"/>
                <w:sz w:val="24"/>
                <w:szCs w:val="24"/>
                <w:lang w:val="de-DE" w:eastAsia="en-GB"/>
              </w:rPr>
            </w:pPr>
          </w:p>
        </w:tc>
        <w:tc>
          <w:tcPr>
            <w:tcW w:w="773" w:type="pct"/>
          </w:tcPr>
          <w:p>
            <w:pPr>
              <w:spacing w:after="26" w:line="360" w:lineRule="auto"/>
              <w:rPr>
                <w:rFonts w:ascii="Times New Roman" w:eastAsia="Times New Roman" w:hAnsi="Times New Roman" w:cs="Times New Roman"/>
                <w:b/>
                <w:color w:val="000000"/>
                <w:sz w:val="24"/>
                <w:szCs w:val="24"/>
                <w:lang w:val="de-DE" w:eastAsia="en-GB"/>
              </w:rPr>
            </w:pPr>
          </w:p>
        </w:tc>
        <w:tc>
          <w:tcPr>
            <w:tcW w:w="702" w:type="pct"/>
          </w:tcPr>
          <w:p>
            <w:pPr>
              <w:spacing w:after="26" w:line="360" w:lineRule="auto"/>
              <w:rPr>
                <w:rFonts w:ascii="Times New Roman" w:eastAsia="Times New Roman" w:hAnsi="Times New Roman" w:cs="Times New Roman"/>
                <w:b/>
                <w:color w:val="000000"/>
                <w:sz w:val="24"/>
                <w:szCs w:val="24"/>
                <w:lang w:val="de-DE" w:eastAsia="en-GB"/>
              </w:rPr>
            </w:pPr>
          </w:p>
        </w:tc>
        <w:tc>
          <w:tcPr>
            <w:tcW w:w="470" w:type="pct"/>
          </w:tcPr>
          <w:p>
            <w:pPr>
              <w:spacing w:after="26" w:line="360" w:lineRule="auto"/>
              <w:rPr>
                <w:rFonts w:ascii="Times New Roman" w:eastAsia="Times New Roman" w:hAnsi="Times New Roman" w:cs="Times New Roman"/>
                <w:b/>
                <w:color w:val="000000"/>
                <w:sz w:val="24"/>
                <w:szCs w:val="24"/>
                <w:lang w:val="de-DE" w:eastAsia="en-GB"/>
              </w:rPr>
            </w:pPr>
          </w:p>
        </w:tc>
      </w:tr>
      <w:tr>
        <w:trPr>
          <w:trHeight w:val="283"/>
        </w:trPr>
        <w:tc>
          <w:tcPr>
            <w:tcW w:w="812" w:type="pct"/>
          </w:tcPr>
          <w:p>
            <w:pPr>
              <w:spacing w:afterLines="26" w:after="62"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MTP 1</w:t>
            </w:r>
          </w:p>
        </w:tc>
        <w:tc>
          <w:tcPr>
            <w:tcW w:w="928"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(64; 97)</w:t>
            </w:r>
          </w:p>
        </w:tc>
        <w:tc>
          <w:tcPr>
            <w:tcW w:w="77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62</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(48; 74)</w:t>
            </w:r>
          </w:p>
        </w:tc>
        <w:tc>
          <w:tcPr>
            <w:tcW w:w="54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0.75</w:t>
            </w:r>
          </w:p>
        </w:tc>
        <w:tc>
          <w:tcPr>
            <w:tcW w:w="773"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50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(28; 72)</w:t>
            </w:r>
          </w:p>
        </w:tc>
        <w:tc>
          <w:tcPr>
            <w:tcW w:w="702"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98</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(90; 100)</w:t>
            </w:r>
          </w:p>
        </w:tc>
        <w:tc>
          <w:tcPr>
            <w:tcW w:w="470"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0.74</w:t>
            </w:r>
          </w:p>
        </w:tc>
      </w:tr>
      <w:tr>
        <w:trPr>
          <w:trHeight w:val="283"/>
        </w:trPr>
        <w:tc>
          <w:tcPr>
            <w:tcW w:w="812" w:type="pct"/>
          </w:tcPr>
          <w:p>
            <w:pPr>
              <w:spacing w:afterLines="26" w:after="62"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MTP 2</w:t>
            </w:r>
          </w:p>
        </w:tc>
        <w:tc>
          <w:tcPr>
            <w:tcW w:w="928"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(40; 89)</w:t>
            </w:r>
          </w:p>
        </w:tc>
        <w:tc>
          <w:tcPr>
            <w:tcW w:w="77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66</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(53; 77)</w:t>
            </w:r>
          </w:p>
        </w:tc>
        <w:tc>
          <w:tcPr>
            <w:tcW w:w="54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0.68</w:t>
            </w:r>
          </w:p>
        </w:tc>
        <w:tc>
          <w:tcPr>
            <w:tcW w:w="773"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20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(6; 51)</w:t>
            </w:r>
          </w:p>
        </w:tc>
        <w:tc>
          <w:tcPr>
            <w:tcW w:w="702"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100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(94; 100)</w:t>
            </w:r>
          </w:p>
        </w:tc>
        <w:tc>
          <w:tcPr>
            <w:tcW w:w="470"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0.60</w:t>
            </w:r>
          </w:p>
        </w:tc>
      </w:tr>
      <w:tr>
        <w:trPr>
          <w:trHeight w:val="283"/>
        </w:trPr>
        <w:tc>
          <w:tcPr>
            <w:tcW w:w="812" w:type="pct"/>
          </w:tcPr>
          <w:p>
            <w:pPr>
              <w:spacing w:afterLines="26" w:after="62"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MTP 3</w:t>
            </w:r>
          </w:p>
        </w:tc>
        <w:tc>
          <w:tcPr>
            <w:tcW w:w="928"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(38; 96)</w:t>
            </w:r>
          </w:p>
        </w:tc>
        <w:tc>
          <w:tcPr>
            <w:tcW w:w="77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82</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(71; 90)</w:t>
            </w:r>
          </w:p>
        </w:tc>
        <w:tc>
          <w:tcPr>
            <w:tcW w:w="54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0.81</w:t>
            </w:r>
          </w:p>
        </w:tc>
        <w:tc>
          <w:tcPr>
            <w:tcW w:w="773"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40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(12; 77)</w:t>
            </w:r>
          </w:p>
        </w:tc>
        <w:tc>
          <w:tcPr>
            <w:tcW w:w="702"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100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(94; 100)</w:t>
            </w:r>
          </w:p>
        </w:tc>
        <w:tc>
          <w:tcPr>
            <w:tcW w:w="470"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0.70</w:t>
            </w:r>
          </w:p>
        </w:tc>
      </w:tr>
      <w:tr>
        <w:trPr>
          <w:trHeight w:val="283"/>
        </w:trPr>
        <w:tc>
          <w:tcPr>
            <w:tcW w:w="812" w:type="pct"/>
          </w:tcPr>
          <w:p>
            <w:pPr>
              <w:spacing w:afterLines="26" w:after="62" w:line="36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MTP 4</w:t>
            </w:r>
          </w:p>
        </w:tc>
        <w:tc>
          <w:tcPr>
            <w:tcW w:w="928"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(51; 100)</w:t>
            </w:r>
          </w:p>
        </w:tc>
        <w:tc>
          <w:tcPr>
            <w:tcW w:w="77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93</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(84; 97)</w:t>
            </w:r>
          </w:p>
        </w:tc>
        <w:tc>
          <w:tcPr>
            <w:tcW w:w="54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0.97</w:t>
            </w:r>
          </w:p>
        </w:tc>
        <w:tc>
          <w:tcPr>
            <w:tcW w:w="773"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50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(15; 85)</w:t>
            </w:r>
          </w:p>
        </w:tc>
        <w:tc>
          <w:tcPr>
            <w:tcW w:w="702"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100</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(94; 100)</w:t>
            </w:r>
          </w:p>
        </w:tc>
        <w:tc>
          <w:tcPr>
            <w:tcW w:w="470" w:type="pct"/>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0.75</w:t>
            </w:r>
          </w:p>
        </w:tc>
      </w:tr>
      <w:tr>
        <w:trPr>
          <w:trHeight w:val="624"/>
        </w:trPr>
        <w:tc>
          <w:tcPr>
            <w:tcW w:w="812" w:type="pct"/>
            <w:tcBorders>
              <w:top w:val="nil"/>
              <w:left w:val="nil"/>
              <w:bottom w:val="single" w:sz="4" w:space="0" w:color="auto"/>
              <w:right w:val="nil"/>
            </w:tcBorders>
          </w:tcPr>
          <w:p>
            <w:pPr>
              <w:spacing w:afterLines="26" w:after="62" w:line="360" w:lineRule="auto"/>
              <w:rPr>
                <w:rFonts w:ascii="Times New Roman" w:eastAsia="Calibri" w:hAnsi="Times New Roman" w:cs="Times New Roman"/>
                <w:color w:val="000000"/>
                <w:sz w:val="24"/>
                <w:szCs w:val="24"/>
                <w:lang w:val="en-US"/>
              </w:rPr>
            </w:pPr>
            <w:r>
              <w:rPr>
                <w:rFonts w:ascii="Times New Roman" w:hAnsi="Times New Roman" w:cs="Times New Roman"/>
                <w:color w:val="000000"/>
                <w:sz w:val="24"/>
                <w:szCs w:val="24"/>
                <w:lang w:val="en-US"/>
              </w:rPr>
              <w:t>MTP 5</w:t>
            </w:r>
          </w:p>
        </w:tc>
        <w:tc>
          <w:tcPr>
            <w:tcW w:w="928" w:type="pct"/>
            <w:tcBorders>
              <w:top w:val="nil"/>
              <w:left w:val="nil"/>
              <w:bottom w:val="single" w:sz="4" w:space="0" w:color="auto"/>
              <w:right w:val="nil"/>
            </w:tcBorders>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44</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(19; 73)</w:t>
            </w:r>
          </w:p>
        </w:tc>
        <w:tc>
          <w:tcPr>
            <w:tcW w:w="773" w:type="pct"/>
            <w:tcBorders>
              <w:top w:val="nil"/>
              <w:left w:val="nil"/>
              <w:bottom w:val="single" w:sz="4" w:space="0" w:color="auto"/>
              <w:right w:val="nil"/>
            </w:tcBorders>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95</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(86; 98)</w:t>
            </w:r>
          </w:p>
        </w:tc>
        <w:tc>
          <w:tcPr>
            <w:tcW w:w="542" w:type="pct"/>
            <w:tcBorders>
              <w:top w:val="nil"/>
              <w:left w:val="nil"/>
              <w:bottom w:val="single" w:sz="4" w:space="0" w:color="auto"/>
              <w:right w:val="nil"/>
            </w:tcBorders>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0.70</w:t>
            </w:r>
          </w:p>
        </w:tc>
        <w:tc>
          <w:tcPr>
            <w:tcW w:w="773" w:type="pct"/>
            <w:tcBorders>
              <w:top w:val="nil"/>
              <w:left w:val="nil"/>
              <w:bottom w:val="single" w:sz="4" w:space="0" w:color="auto"/>
              <w:right w:val="nil"/>
            </w:tcBorders>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44</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(19; 73)</w:t>
            </w:r>
          </w:p>
        </w:tc>
        <w:tc>
          <w:tcPr>
            <w:tcW w:w="702" w:type="pct"/>
            <w:tcBorders>
              <w:top w:val="nil"/>
              <w:left w:val="nil"/>
              <w:bottom w:val="single" w:sz="4" w:space="0" w:color="auto"/>
              <w:right w:val="nil"/>
            </w:tcBorders>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95</w:t>
            </w:r>
          </w:p>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(86; 98)</w:t>
            </w:r>
          </w:p>
        </w:tc>
        <w:tc>
          <w:tcPr>
            <w:tcW w:w="470" w:type="pct"/>
            <w:tcBorders>
              <w:top w:val="nil"/>
              <w:left w:val="nil"/>
              <w:bottom w:val="single" w:sz="4" w:space="0" w:color="auto"/>
              <w:right w:val="nil"/>
            </w:tcBorders>
          </w:tcPr>
          <w:p>
            <w:pPr>
              <w:spacing w:after="26" w:line="360" w:lineRule="auto"/>
              <w:rPr>
                <w:rFonts w:ascii="Times New Roman" w:eastAsia="Times New Roman" w:hAnsi="Times New Roman" w:cs="Times New Roman"/>
                <w:color w:val="000000"/>
                <w:sz w:val="24"/>
                <w:szCs w:val="24"/>
                <w:lang w:val="de-DE" w:eastAsia="en-GB"/>
              </w:rPr>
            </w:pPr>
            <w:r>
              <w:rPr>
                <w:rFonts w:ascii="Times New Roman" w:eastAsia="Times New Roman" w:hAnsi="Times New Roman" w:cs="Times New Roman"/>
                <w:color w:val="000000"/>
                <w:sz w:val="24"/>
                <w:szCs w:val="24"/>
                <w:lang w:val="de-DE" w:eastAsia="en-GB"/>
              </w:rPr>
              <w:t>0.70</w:t>
            </w:r>
          </w:p>
        </w:tc>
      </w:tr>
    </w:tbl>
    <w:p>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Test characteristics are shown in percentages with a 95% CI except for the AUC, area under the receiver operating characteristic curve. </w:t>
      </w:r>
    </w:p>
    <w:p>
      <w:pPr>
        <w:spacing w:line="360" w:lineRule="auto"/>
        <w:rPr>
          <w:rFonts w:ascii="Times New Roman" w:hAnsi="Times New Roman" w:cs="Times New Roman"/>
          <w:sz w:val="24"/>
          <w:szCs w:val="24"/>
        </w:rPr>
      </w:pPr>
      <w:r>
        <w:rPr>
          <w:rFonts w:ascii="Times New Roman" w:hAnsi="Times New Roman" w:cs="Times New Roman"/>
          <w:sz w:val="24"/>
          <w:szCs w:val="24"/>
        </w:rPr>
        <w:t>GS: Grey-scale; PD: Power Doppler; MCP: metacarpophalangeal; MTP: metatarsophalangeal.</w:t>
      </w:r>
      <w:r>
        <w:rPr>
          <w:rFonts w:ascii="Times New Roman" w:hAnsi="Times New Roman" w:cs="Times New Roman"/>
          <w:sz w:val="24"/>
          <w:szCs w:val="24"/>
        </w:rPr>
        <w:br w:type="page"/>
      </w:r>
    </w:p>
    <w:p>
      <w:pPr>
        <w:pStyle w:val="Head3Wouter"/>
        <w:spacing w:before="0" w:line="480" w:lineRule="auto"/>
        <w:rPr>
          <w:rFonts w:cs="Times New Roman"/>
          <w:b w:val="0"/>
          <w:i/>
          <w:color w:val="auto"/>
        </w:rPr>
      </w:pPr>
      <w:r>
        <w:rPr>
          <w:rFonts w:cs="Times New Roman"/>
          <w:color w:val="auto"/>
          <w:lang w:val="en-GB"/>
        </w:rPr>
        <w:lastRenderedPageBreak/>
        <w:t xml:space="preserve">Table S7. </w:t>
      </w:r>
      <w:r>
        <w:rPr>
          <w:rFonts w:cs="Times New Roman"/>
          <w:b w:val="0"/>
          <w:color w:val="auto"/>
          <w:lang w:val="en-GB"/>
        </w:rPr>
        <w:t>Test characteristics per joint for Grey-scale and power Doppler Ultrasound-detected tenosynovitis with MRI as a reference.</w:t>
      </w:r>
    </w:p>
    <w:tbl>
      <w:tblPr>
        <w:tblW w:w="5000" w:type="pct"/>
        <w:tblCellMar>
          <w:left w:w="70" w:type="dxa"/>
          <w:right w:w="70" w:type="dxa"/>
        </w:tblCellMar>
        <w:tblLook w:val="00A0" w:firstRow="1" w:lastRow="0" w:firstColumn="1" w:lastColumn="0" w:noHBand="0" w:noVBand="0"/>
      </w:tblPr>
      <w:tblGrid>
        <w:gridCol w:w="1460"/>
        <w:gridCol w:w="1486"/>
        <w:gridCol w:w="1484"/>
        <w:gridCol w:w="821"/>
        <w:gridCol w:w="1484"/>
        <w:gridCol w:w="1484"/>
        <w:gridCol w:w="807"/>
      </w:tblGrid>
      <w:tr>
        <w:trPr>
          <w:trHeight w:val="283"/>
        </w:trPr>
        <w:tc>
          <w:tcPr>
            <w:tcW w:w="809" w:type="pct"/>
            <w:tcBorders>
              <w:top w:val="single" w:sz="18" w:space="0" w:color="auto"/>
              <w:left w:val="nil"/>
              <w:bottom w:val="single" w:sz="4" w:space="0" w:color="auto"/>
              <w:right w:val="nil"/>
            </w:tcBorders>
          </w:tcPr>
          <w:p>
            <w:pPr>
              <w:spacing w:afterLines="26" w:after="62" w:line="360" w:lineRule="auto"/>
              <w:rPr>
                <w:rFonts w:ascii="Times New Roman" w:eastAsia="Calibri" w:hAnsi="Times New Roman" w:cs="Times New Roman"/>
                <w:b/>
                <w:sz w:val="24"/>
                <w:szCs w:val="24"/>
                <w:lang w:val="en-US"/>
              </w:rPr>
            </w:pPr>
          </w:p>
        </w:tc>
        <w:tc>
          <w:tcPr>
            <w:tcW w:w="823" w:type="pct"/>
            <w:tcBorders>
              <w:top w:val="single" w:sz="18" w:space="0" w:color="auto"/>
              <w:left w:val="nil"/>
              <w:bottom w:val="single" w:sz="4" w:space="0" w:color="auto"/>
              <w:right w:val="nil"/>
            </w:tcBorders>
            <w:noWrap/>
            <w:vAlign w:val="center"/>
            <w:hideMark/>
          </w:tcPr>
          <w:p>
            <w:pPr>
              <w:spacing w:afterLines="26" w:after="62" w:line="360" w:lineRule="auto"/>
              <w:rPr>
                <w:rFonts w:ascii="Times New Roman" w:eastAsia="Calibri" w:hAnsi="Times New Roman" w:cs="Times New Roman"/>
                <w:b/>
                <w:sz w:val="24"/>
                <w:szCs w:val="24"/>
                <w:lang w:val="en-US"/>
              </w:rPr>
            </w:pPr>
            <w:r>
              <w:rPr>
                <w:rFonts w:ascii="Times New Roman" w:hAnsi="Times New Roman" w:cs="Times New Roman"/>
                <w:b/>
                <w:sz w:val="24"/>
                <w:szCs w:val="24"/>
                <w:lang w:val="en-US"/>
              </w:rPr>
              <w:t>Sensitivity</w:t>
            </w:r>
          </w:p>
        </w:tc>
        <w:tc>
          <w:tcPr>
            <w:tcW w:w="822" w:type="pct"/>
            <w:tcBorders>
              <w:top w:val="single" w:sz="18" w:space="0" w:color="auto"/>
              <w:left w:val="nil"/>
              <w:bottom w:val="single" w:sz="4" w:space="0" w:color="auto"/>
              <w:right w:val="nil"/>
            </w:tcBorders>
            <w:noWrap/>
            <w:vAlign w:val="center"/>
            <w:hideMark/>
          </w:tcPr>
          <w:p>
            <w:pPr>
              <w:spacing w:afterLines="26" w:after="62" w:line="360" w:lineRule="auto"/>
              <w:rPr>
                <w:rFonts w:ascii="Times New Roman" w:eastAsia="Calibri" w:hAnsi="Times New Roman" w:cs="Times New Roman"/>
                <w:b/>
                <w:sz w:val="24"/>
                <w:szCs w:val="24"/>
                <w:lang w:val="en-US"/>
              </w:rPr>
            </w:pPr>
            <w:r>
              <w:rPr>
                <w:rFonts w:ascii="Times New Roman" w:hAnsi="Times New Roman" w:cs="Times New Roman"/>
                <w:b/>
                <w:sz w:val="24"/>
                <w:szCs w:val="24"/>
                <w:lang w:val="en-US"/>
              </w:rPr>
              <w:t>Specificity</w:t>
            </w:r>
          </w:p>
        </w:tc>
        <w:tc>
          <w:tcPr>
            <w:tcW w:w="455" w:type="pct"/>
            <w:tcBorders>
              <w:top w:val="single" w:sz="18" w:space="0" w:color="auto"/>
              <w:left w:val="nil"/>
              <w:bottom w:val="single" w:sz="2" w:space="0" w:color="auto"/>
              <w:right w:val="nil"/>
            </w:tcBorders>
            <w:noWrap/>
            <w:vAlign w:val="center"/>
            <w:hideMark/>
          </w:tcPr>
          <w:p>
            <w:pPr>
              <w:spacing w:afterLines="26" w:after="62" w:line="360" w:lineRule="auto"/>
              <w:rPr>
                <w:rFonts w:ascii="Times New Roman" w:eastAsia="Calibri" w:hAnsi="Times New Roman" w:cs="Times New Roman"/>
                <w:b/>
                <w:sz w:val="24"/>
                <w:szCs w:val="24"/>
                <w:lang w:val="en-US"/>
              </w:rPr>
            </w:pPr>
            <w:r>
              <w:rPr>
                <w:rFonts w:ascii="Times New Roman" w:hAnsi="Times New Roman" w:cs="Times New Roman"/>
                <w:b/>
                <w:sz w:val="24"/>
                <w:szCs w:val="24"/>
                <w:lang w:val="en-US"/>
              </w:rPr>
              <w:t xml:space="preserve">AUC </w:t>
            </w:r>
          </w:p>
        </w:tc>
        <w:tc>
          <w:tcPr>
            <w:tcW w:w="822" w:type="pct"/>
            <w:tcBorders>
              <w:top w:val="single" w:sz="18" w:space="0" w:color="auto"/>
              <w:left w:val="nil"/>
              <w:bottom w:val="single" w:sz="2" w:space="0" w:color="auto"/>
              <w:right w:val="nil"/>
            </w:tcBorders>
            <w:vAlign w:val="center"/>
            <w:hideMark/>
          </w:tcPr>
          <w:p>
            <w:pPr>
              <w:spacing w:afterLines="26" w:after="62" w:line="360" w:lineRule="auto"/>
              <w:rPr>
                <w:rFonts w:ascii="Times New Roman" w:eastAsia="Calibri" w:hAnsi="Times New Roman" w:cs="Times New Roman"/>
                <w:b/>
                <w:sz w:val="24"/>
                <w:szCs w:val="24"/>
                <w:lang w:val="en-US"/>
              </w:rPr>
            </w:pPr>
            <w:r>
              <w:rPr>
                <w:rFonts w:ascii="Times New Roman" w:hAnsi="Times New Roman" w:cs="Times New Roman"/>
                <w:b/>
                <w:sz w:val="24"/>
                <w:szCs w:val="24"/>
                <w:lang w:val="en-US"/>
              </w:rPr>
              <w:t>Sensitivity</w:t>
            </w:r>
          </w:p>
        </w:tc>
        <w:tc>
          <w:tcPr>
            <w:tcW w:w="822" w:type="pct"/>
            <w:tcBorders>
              <w:top w:val="single" w:sz="18" w:space="0" w:color="auto"/>
              <w:left w:val="nil"/>
              <w:bottom w:val="single" w:sz="2" w:space="0" w:color="auto"/>
              <w:right w:val="nil"/>
            </w:tcBorders>
            <w:vAlign w:val="center"/>
            <w:hideMark/>
          </w:tcPr>
          <w:p>
            <w:pPr>
              <w:spacing w:afterLines="26" w:after="62" w:line="360" w:lineRule="auto"/>
              <w:rPr>
                <w:rFonts w:ascii="Times New Roman" w:eastAsia="Calibri" w:hAnsi="Times New Roman" w:cs="Times New Roman"/>
                <w:b/>
                <w:sz w:val="24"/>
                <w:szCs w:val="24"/>
                <w:lang w:val="en-US"/>
              </w:rPr>
            </w:pPr>
            <w:r>
              <w:rPr>
                <w:rFonts w:ascii="Times New Roman" w:hAnsi="Times New Roman" w:cs="Times New Roman"/>
                <w:b/>
                <w:sz w:val="24"/>
                <w:szCs w:val="24"/>
                <w:lang w:val="en-US"/>
              </w:rPr>
              <w:t>Specificity</w:t>
            </w:r>
          </w:p>
        </w:tc>
        <w:tc>
          <w:tcPr>
            <w:tcW w:w="448" w:type="pct"/>
            <w:tcBorders>
              <w:top w:val="single" w:sz="18" w:space="0" w:color="auto"/>
              <w:left w:val="nil"/>
              <w:bottom w:val="single" w:sz="2" w:space="0" w:color="auto"/>
              <w:right w:val="nil"/>
            </w:tcBorders>
            <w:vAlign w:val="center"/>
            <w:hideMark/>
          </w:tcPr>
          <w:p>
            <w:pPr>
              <w:spacing w:afterLines="26" w:after="62" w:line="360" w:lineRule="auto"/>
              <w:rPr>
                <w:rFonts w:ascii="Times New Roman" w:eastAsia="Calibri" w:hAnsi="Times New Roman" w:cs="Times New Roman"/>
                <w:b/>
                <w:sz w:val="24"/>
                <w:szCs w:val="24"/>
                <w:lang w:val="en-US"/>
              </w:rPr>
            </w:pPr>
            <w:r>
              <w:rPr>
                <w:rFonts w:ascii="Times New Roman" w:hAnsi="Times New Roman" w:cs="Times New Roman"/>
                <w:b/>
                <w:sz w:val="24"/>
                <w:szCs w:val="24"/>
                <w:lang w:val="en-US"/>
              </w:rPr>
              <w:t xml:space="preserve">AUC </w:t>
            </w:r>
          </w:p>
        </w:tc>
      </w:tr>
      <w:tr>
        <w:trPr>
          <w:trHeight w:val="343"/>
        </w:trPr>
        <w:tc>
          <w:tcPr>
            <w:tcW w:w="809" w:type="pct"/>
            <w:tcBorders>
              <w:top w:val="single" w:sz="4" w:space="0" w:color="auto"/>
              <w:left w:val="nil"/>
              <w:right w:val="nil"/>
            </w:tcBorders>
            <w:hideMark/>
          </w:tcPr>
          <w:p>
            <w:pPr>
              <w:spacing w:afterLines="26" w:after="62" w:line="360" w:lineRule="auto"/>
              <w:rPr>
                <w:rFonts w:ascii="Times New Roman" w:eastAsia="Calibri" w:hAnsi="Times New Roman" w:cs="Times New Roman"/>
                <w:i/>
                <w:sz w:val="24"/>
                <w:szCs w:val="24"/>
                <w:lang w:val="de-DE"/>
              </w:rPr>
            </w:pPr>
            <w:r>
              <w:rPr>
                <w:rFonts w:ascii="Times New Roman" w:hAnsi="Times New Roman" w:cs="Times New Roman"/>
                <w:i/>
                <w:sz w:val="24"/>
                <w:szCs w:val="24"/>
                <w:lang w:val="en-US"/>
              </w:rPr>
              <w:t xml:space="preserve">Tenosynovitis </w:t>
            </w:r>
          </w:p>
        </w:tc>
        <w:tc>
          <w:tcPr>
            <w:tcW w:w="1644" w:type="pct"/>
            <w:gridSpan w:val="2"/>
            <w:tcBorders>
              <w:top w:val="single" w:sz="4" w:space="0" w:color="auto"/>
              <w:left w:val="nil"/>
              <w:right w:val="nil"/>
            </w:tcBorders>
            <w:hideMark/>
          </w:tcPr>
          <w:p>
            <w:pPr>
              <w:spacing w:afterLines="26" w:after="62" w:line="360" w:lineRule="auto"/>
              <w:rPr>
                <w:rFonts w:ascii="Times New Roman" w:eastAsia="Calibri" w:hAnsi="Times New Roman" w:cs="Times New Roman"/>
                <w:i/>
                <w:sz w:val="24"/>
                <w:szCs w:val="24"/>
                <w:lang w:val="de-DE"/>
              </w:rPr>
            </w:pPr>
            <w:r>
              <w:rPr>
                <w:rFonts w:ascii="Times New Roman" w:hAnsi="Times New Roman" w:cs="Times New Roman"/>
                <w:i/>
                <w:sz w:val="24"/>
                <w:szCs w:val="24"/>
                <w:lang w:val="en-US"/>
              </w:rPr>
              <w:t>GS ≥1</w:t>
            </w:r>
          </w:p>
        </w:tc>
        <w:tc>
          <w:tcPr>
            <w:tcW w:w="455" w:type="pct"/>
            <w:noWrap/>
            <w:vAlign w:val="center"/>
          </w:tcPr>
          <w:p>
            <w:pPr>
              <w:spacing w:afterLines="26" w:after="62" w:line="360" w:lineRule="auto"/>
              <w:rPr>
                <w:rFonts w:ascii="Times New Roman" w:eastAsia="Calibri" w:hAnsi="Times New Roman" w:cs="Times New Roman"/>
                <w:i/>
                <w:sz w:val="24"/>
                <w:szCs w:val="24"/>
                <w:lang w:val="en-US"/>
              </w:rPr>
            </w:pPr>
          </w:p>
        </w:tc>
        <w:tc>
          <w:tcPr>
            <w:tcW w:w="2092" w:type="pct"/>
            <w:gridSpan w:val="3"/>
            <w:hideMark/>
          </w:tcPr>
          <w:p>
            <w:pPr>
              <w:spacing w:afterLines="26" w:after="62" w:line="360" w:lineRule="auto"/>
              <w:rPr>
                <w:rFonts w:ascii="Times New Roman" w:eastAsia="Calibri" w:hAnsi="Times New Roman" w:cs="Times New Roman"/>
                <w:i/>
                <w:sz w:val="24"/>
                <w:szCs w:val="24"/>
                <w:lang w:val="en-US"/>
              </w:rPr>
            </w:pPr>
            <w:r>
              <w:rPr>
                <w:rFonts w:ascii="Times New Roman" w:hAnsi="Times New Roman" w:cs="Times New Roman"/>
                <w:i/>
                <w:sz w:val="24"/>
                <w:szCs w:val="24"/>
                <w:lang w:val="en-US"/>
              </w:rPr>
              <w:t>Tenosynovitis PD ≥1</w:t>
            </w:r>
          </w:p>
        </w:tc>
      </w:tr>
      <w:tr>
        <w:trPr>
          <w:trHeight w:val="343"/>
        </w:trPr>
        <w:tc>
          <w:tcPr>
            <w:tcW w:w="2453" w:type="pct"/>
            <w:gridSpan w:val="3"/>
            <w:tcBorders>
              <w:left w:val="nil"/>
              <w:bottom w:val="nil"/>
              <w:right w:val="nil"/>
            </w:tcBorders>
          </w:tcPr>
          <w:p>
            <w:pPr>
              <w:spacing w:afterLines="26" w:after="62" w:line="360" w:lineRule="auto"/>
              <w:rPr>
                <w:rFonts w:ascii="Times New Roman" w:hAnsi="Times New Roman" w:cs="Times New Roman"/>
                <w:b/>
                <w:i/>
                <w:sz w:val="24"/>
                <w:szCs w:val="24"/>
                <w:lang w:val="en-US"/>
              </w:rPr>
            </w:pPr>
            <w:r>
              <w:rPr>
                <w:rFonts w:ascii="Times New Roman" w:hAnsi="Times New Roman" w:cs="Times New Roman"/>
                <w:b/>
                <w:sz w:val="24"/>
                <w:szCs w:val="24"/>
                <w:lang w:val="en-US"/>
              </w:rPr>
              <w:t>MCP flexor tendons</w:t>
            </w:r>
          </w:p>
        </w:tc>
        <w:tc>
          <w:tcPr>
            <w:tcW w:w="455" w:type="pct"/>
            <w:noWrap/>
            <w:vAlign w:val="center"/>
          </w:tcPr>
          <w:p>
            <w:pPr>
              <w:spacing w:afterLines="26" w:after="62" w:line="360" w:lineRule="auto"/>
              <w:rPr>
                <w:rFonts w:ascii="Times New Roman" w:eastAsia="Calibri" w:hAnsi="Times New Roman" w:cs="Times New Roman"/>
                <w:b/>
                <w:i/>
                <w:sz w:val="24"/>
                <w:szCs w:val="24"/>
                <w:lang w:val="en-US"/>
              </w:rPr>
            </w:pPr>
          </w:p>
        </w:tc>
        <w:tc>
          <w:tcPr>
            <w:tcW w:w="2092" w:type="pct"/>
            <w:gridSpan w:val="3"/>
          </w:tcPr>
          <w:p>
            <w:pPr>
              <w:spacing w:afterLines="26" w:after="62" w:line="360" w:lineRule="auto"/>
              <w:rPr>
                <w:rFonts w:ascii="Times New Roman" w:hAnsi="Times New Roman" w:cs="Times New Roman"/>
                <w:b/>
                <w:i/>
                <w:sz w:val="24"/>
                <w:szCs w:val="24"/>
                <w:lang w:val="en-US"/>
              </w:rPr>
            </w:pPr>
          </w:p>
        </w:tc>
      </w:tr>
      <w:tr>
        <w:trPr>
          <w:trHeight w:val="283"/>
        </w:trPr>
        <w:tc>
          <w:tcPr>
            <w:tcW w:w="809" w:type="pct"/>
            <w:hideMark/>
          </w:tcPr>
          <w:p>
            <w:pPr>
              <w:spacing w:afterLines="26" w:after="62" w:line="360" w:lineRule="auto"/>
              <w:rPr>
                <w:rFonts w:ascii="Times New Roman" w:eastAsia="Calibri" w:hAnsi="Times New Roman" w:cs="Times New Roman"/>
                <w:sz w:val="24"/>
                <w:szCs w:val="24"/>
                <w:lang w:val="de-DE"/>
              </w:rPr>
            </w:pPr>
            <w:r>
              <w:rPr>
                <w:rFonts w:ascii="Times New Roman" w:hAnsi="Times New Roman" w:cs="Times New Roman"/>
                <w:sz w:val="24"/>
                <w:szCs w:val="24"/>
                <w:lang w:val="en-US"/>
              </w:rPr>
              <w:t>FD MCP 2</w:t>
            </w:r>
          </w:p>
        </w:tc>
        <w:tc>
          <w:tcPr>
            <w:tcW w:w="82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(64; 97)</w:t>
            </w:r>
          </w:p>
        </w:tc>
        <w:tc>
          <w:tcPr>
            <w:tcW w:w="82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89</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(78; 95)</w:t>
            </w:r>
          </w:p>
        </w:tc>
        <w:tc>
          <w:tcPr>
            <w:tcW w:w="455"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0.88</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31</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(14; 56)</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(93; 100)</w:t>
            </w:r>
          </w:p>
        </w:tc>
        <w:tc>
          <w:tcPr>
            <w:tcW w:w="448"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0.66</w:t>
            </w:r>
          </w:p>
        </w:tc>
      </w:tr>
      <w:tr>
        <w:trPr>
          <w:trHeight w:val="283"/>
        </w:trPr>
        <w:tc>
          <w:tcPr>
            <w:tcW w:w="809" w:type="pct"/>
            <w:hideMark/>
          </w:tcPr>
          <w:p>
            <w:pPr>
              <w:spacing w:afterLines="26" w:after="62" w:line="360" w:lineRule="auto"/>
              <w:rPr>
                <w:rFonts w:ascii="Times New Roman" w:eastAsia="Calibri" w:hAnsi="Times New Roman" w:cs="Times New Roman"/>
                <w:sz w:val="24"/>
                <w:szCs w:val="24"/>
                <w:lang w:val="de-DE"/>
              </w:rPr>
            </w:pPr>
            <w:r>
              <w:rPr>
                <w:rFonts w:ascii="Times New Roman" w:hAnsi="Times New Roman" w:cs="Times New Roman"/>
                <w:sz w:val="24"/>
                <w:szCs w:val="24"/>
                <w:lang w:val="en-US"/>
              </w:rPr>
              <w:t>FD MCP 3</w:t>
            </w:r>
          </w:p>
        </w:tc>
        <w:tc>
          <w:tcPr>
            <w:tcW w:w="82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46</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(23; 71)</w:t>
            </w:r>
          </w:p>
        </w:tc>
        <w:tc>
          <w:tcPr>
            <w:tcW w:w="82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95</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(86; 98)</w:t>
            </w:r>
          </w:p>
        </w:tc>
        <w:tc>
          <w:tcPr>
            <w:tcW w:w="455"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0.70</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15</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 42)</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0.58</w:t>
            </w:r>
          </w:p>
        </w:tc>
      </w:tr>
      <w:tr>
        <w:trPr>
          <w:trHeight w:val="283"/>
        </w:trPr>
        <w:tc>
          <w:tcPr>
            <w:tcW w:w="809" w:type="pct"/>
            <w:hideMark/>
          </w:tcPr>
          <w:p>
            <w:pPr>
              <w:spacing w:afterLines="26" w:after="62" w:line="360" w:lineRule="auto"/>
              <w:rPr>
                <w:rFonts w:ascii="Times New Roman" w:eastAsia="Calibri" w:hAnsi="Times New Roman" w:cs="Times New Roman"/>
                <w:sz w:val="24"/>
                <w:szCs w:val="24"/>
                <w:lang w:val="de-DE"/>
              </w:rPr>
            </w:pPr>
            <w:r>
              <w:rPr>
                <w:rFonts w:ascii="Times New Roman" w:hAnsi="Times New Roman" w:cs="Times New Roman"/>
                <w:sz w:val="24"/>
                <w:szCs w:val="24"/>
                <w:lang w:val="en-US"/>
              </w:rPr>
              <w:t>FD MCP 4</w:t>
            </w:r>
          </w:p>
        </w:tc>
        <w:tc>
          <w:tcPr>
            <w:tcW w:w="82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91</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(62; 98)</w:t>
            </w:r>
          </w:p>
        </w:tc>
        <w:tc>
          <w:tcPr>
            <w:tcW w:w="82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93</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(84; 97)</w:t>
            </w:r>
          </w:p>
        </w:tc>
        <w:tc>
          <w:tcPr>
            <w:tcW w:w="455"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0.92</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 48)</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0.59</w:t>
            </w:r>
          </w:p>
        </w:tc>
      </w:tr>
      <w:tr>
        <w:trPr>
          <w:trHeight w:val="283"/>
        </w:trPr>
        <w:tc>
          <w:tcPr>
            <w:tcW w:w="809" w:type="pct"/>
            <w:hideMark/>
          </w:tcPr>
          <w:p>
            <w:pPr>
              <w:spacing w:afterLines="26" w:after="62" w:line="360" w:lineRule="auto"/>
              <w:rPr>
                <w:rFonts w:ascii="Times New Roman" w:eastAsia="Calibri" w:hAnsi="Times New Roman" w:cs="Times New Roman"/>
                <w:sz w:val="24"/>
                <w:szCs w:val="24"/>
                <w:lang w:val="de-DE"/>
              </w:rPr>
            </w:pPr>
            <w:r>
              <w:rPr>
                <w:rFonts w:ascii="Times New Roman" w:hAnsi="Times New Roman" w:cs="Times New Roman"/>
                <w:sz w:val="24"/>
                <w:szCs w:val="24"/>
                <w:lang w:val="en-US"/>
              </w:rPr>
              <w:t>FD MCP 5</w:t>
            </w:r>
          </w:p>
        </w:tc>
        <w:tc>
          <w:tcPr>
            <w:tcW w:w="82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69</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(42; 87)</w:t>
            </w:r>
          </w:p>
        </w:tc>
        <w:tc>
          <w:tcPr>
            <w:tcW w:w="82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79</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(67; 88)</w:t>
            </w:r>
          </w:p>
        </w:tc>
        <w:tc>
          <w:tcPr>
            <w:tcW w:w="455"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0.74</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 33)</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0.54</w:t>
            </w:r>
          </w:p>
        </w:tc>
      </w:tr>
      <w:tr>
        <w:trPr>
          <w:trHeight w:val="283"/>
        </w:trPr>
        <w:tc>
          <w:tcPr>
            <w:tcW w:w="1631" w:type="pct"/>
            <w:gridSpan w:val="2"/>
          </w:tcPr>
          <w:p>
            <w:pPr>
              <w:spacing w:after="26" w:line="360" w:lineRule="auto"/>
              <w:rPr>
                <w:rFonts w:ascii="Times New Roman" w:eastAsia="Times New Roman" w:hAnsi="Times New Roman" w:cs="Times New Roman"/>
                <w:b/>
                <w:sz w:val="24"/>
                <w:szCs w:val="24"/>
                <w:lang w:val="de-DE" w:eastAsia="en-GB"/>
              </w:rPr>
            </w:pPr>
            <w:r>
              <w:rPr>
                <w:rFonts w:ascii="Times New Roman" w:hAnsi="Times New Roman" w:cs="Times New Roman"/>
                <w:b/>
                <w:sz w:val="24"/>
                <w:szCs w:val="24"/>
                <w:lang w:val="en-US"/>
              </w:rPr>
              <w:t>Flexor wrist tendons</w:t>
            </w:r>
          </w:p>
        </w:tc>
        <w:tc>
          <w:tcPr>
            <w:tcW w:w="822" w:type="pct"/>
            <w:noWrap/>
          </w:tcPr>
          <w:p>
            <w:pPr>
              <w:spacing w:after="26" w:line="360" w:lineRule="auto"/>
              <w:rPr>
                <w:rFonts w:ascii="Times New Roman" w:eastAsia="Times New Roman" w:hAnsi="Times New Roman" w:cs="Times New Roman"/>
                <w:b/>
                <w:sz w:val="24"/>
                <w:szCs w:val="24"/>
                <w:lang w:val="de-DE" w:eastAsia="en-GB"/>
              </w:rPr>
            </w:pPr>
          </w:p>
        </w:tc>
        <w:tc>
          <w:tcPr>
            <w:tcW w:w="455" w:type="pct"/>
            <w:noWrap/>
          </w:tcPr>
          <w:p>
            <w:pPr>
              <w:spacing w:after="26" w:line="360" w:lineRule="auto"/>
              <w:rPr>
                <w:rFonts w:ascii="Times New Roman" w:eastAsia="Times New Roman" w:hAnsi="Times New Roman" w:cs="Times New Roman"/>
                <w:b/>
                <w:sz w:val="24"/>
                <w:szCs w:val="24"/>
                <w:lang w:val="de-DE" w:eastAsia="en-GB"/>
              </w:rPr>
            </w:pPr>
          </w:p>
        </w:tc>
        <w:tc>
          <w:tcPr>
            <w:tcW w:w="822" w:type="pct"/>
          </w:tcPr>
          <w:p>
            <w:pPr>
              <w:spacing w:after="26" w:line="360" w:lineRule="auto"/>
              <w:rPr>
                <w:rFonts w:ascii="Times New Roman" w:eastAsia="Times New Roman" w:hAnsi="Times New Roman" w:cs="Times New Roman"/>
                <w:b/>
                <w:sz w:val="24"/>
                <w:szCs w:val="24"/>
                <w:lang w:val="de-DE" w:eastAsia="en-GB"/>
              </w:rPr>
            </w:pPr>
          </w:p>
        </w:tc>
        <w:tc>
          <w:tcPr>
            <w:tcW w:w="822" w:type="pct"/>
          </w:tcPr>
          <w:p>
            <w:pPr>
              <w:spacing w:after="26" w:line="360" w:lineRule="auto"/>
              <w:rPr>
                <w:rFonts w:ascii="Times New Roman" w:eastAsia="Times New Roman" w:hAnsi="Times New Roman" w:cs="Times New Roman"/>
                <w:b/>
                <w:sz w:val="24"/>
                <w:szCs w:val="24"/>
                <w:lang w:val="de-DE" w:eastAsia="en-GB"/>
              </w:rPr>
            </w:pPr>
          </w:p>
        </w:tc>
        <w:tc>
          <w:tcPr>
            <w:tcW w:w="448" w:type="pct"/>
          </w:tcPr>
          <w:p>
            <w:pPr>
              <w:spacing w:after="26" w:line="360" w:lineRule="auto"/>
              <w:rPr>
                <w:rFonts w:ascii="Times New Roman" w:eastAsia="Times New Roman" w:hAnsi="Times New Roman" w:cs="Times New Roman"/>
                <w:b/>
                <w:sz w:val="24"/>
                <w:szCs w:val="24"/>
                <w:lang w:val="de-DE" w:eastAsia="en-GB"/>
              </w:rPr>
            </w:pPr>
          </w:p>
        </w:tc>
      </w:tr>
      <w:tr>
        <w:trPr>
          <w:trHeight w:val="481"/>
        </w:trPr>
        <w:tc>
          <w:tcPr>
            <w:tcW w:w="809" w:type="pct"/>
            <w:hideMark/>
          </w:tcPr>
          <w:p>
            <w:pPr>
              <w:spacing w:afterLines="26" w:after="62" w:line="360" w:lineRule="auto"/>
              <w:rPr>
                <w:rFonts w:ascii="Times New Roman" w:eastAsia="Calibri" w:hAnsi="Times New Roman" w:cs="Times New Roman"/>
                <w:sz w:val="24"/>
                <w:szCs w:val="24"/>
                <w:lang w:val="en-US"/>
              </w:rPr>
            </w:pPr>
            <w:r>
              <w:rPr>
                <w:rFonts w:ascii="Times New Roman" w:hAnsi="Times New Roman" w:cs="Times New Roman"/>
                <w:sz w:val="24"/>
                <w:szCs w:val="24"/>
                <w:lang w:val="en-US"/>
              </w:rPr>
              <w:t>FDS/FDP</w:t>
            </w:r>
          </w:p>
        </w:tc>
        <w:tc>
          <w:tcPr>
            <w:tcW w:w="823"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17</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 56)</w:t>
            </w:r>
          </w:p>
        </w:tc>
        <w:tc>
          <w:tcPr>
            <w:tcW w:w="822"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55" w:type="pct"/>
            <w:noWrap/>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0.58</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17</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 56)</w:t>
            </w:r>
          </w:p>
        </w:tc>
        <w:tc>
          <w:tcPr>
            <w:tcW w:w="822"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hideMark/>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0.58</w:t>
            </w:r>
          </w:p>
        </w:tc>
      </w:tr>
      <w:tr>
        <w:trPr>
          <w:trHeight w:val="481"/>
        </w:trPr>
        <w:tc>
          <w:tcPr>
            <w:tcW w:w="809" w:type="pct"/>
          </w:tcPr>
          <w:p>
            <w:pPr>
              <w:spacing w:afterLines="26" w:after="62" w:line="360" w:lineRule="auto"/>
              <w:rPr>
                <w:rFonts w:ascii="Times New Roman" w:hAnsi="Times New Roman" w:cs="Times New Roman"/>
                <w:sz w:val="24"/>
                <w:szCs w:val="24"/>
                <w:lang w:val="en-US"/>
              </w:rPr>
            </w:pPr>
            <w:r>
              <w:rPr>
                <w:rFonts w:ascii="Times New Roman" w:hAnsi="Times New Roman" w:cs="Times New Roman"/>
                <w:sz w:val="24"/>
                <w:szCs w:val="24"/>
                <w:lang w:val="en-US"/>
              </w:rPr>
              <w:t>FPL</w:t>
            </w:r>
          </w:p>
        </w:tc>
        <w:tc>
          <w:tcPr>
            <w:tcW w:w="82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71</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(36; 92)</w:t>
            </w:r>
          </w:p>
        </w:tc>
        <w:tc>
          <w:tcPr>
            <w:tcW w:w="82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(85; 98)</w:t>
            </w:r>
          </w:p>
        </w:tc>
        <w:tc>
          <w:tcPr>
            <w:tcW w:w="455"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0.83</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29</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 64)</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0.64</w:t>
            </w:r>
          </w:p>
        </w:tc>
      </w:tr>
      <w:tr>
        <w:trPr>
          <w:trHeight w:val="481"/>
        </w:trPr>
        <w:tc>
          <w:tcPr>
            <w:tcW w:w="809" w:type="pct"/>
          </w:tcPr>
          <w:p>
            <w:pPr>
              <w:spacing w:afterLines="26" w:after="62" w:line="360" w:lineRule="auto"/>
              <w:rPr>
                <w:rFonts w:ascii="Times New Roman" w:hAnsi="Times New Roman" w:cs="Times New Roman"/>
                <w:sz w:val="24"/>
                <w:szCs w:val="24"/>
                <w:lang w:val="en-US"/>
              </w:rPr>
            </w:pPr>
            <w:r>
              <w:rPr>
                <w:rFonts w:ascii="Times New Roman" w:hAnsi="Times New Roman" w:cs="Times New Roman"/>
                <w:sz w:val="24"/>
                <w:szCs w:val="24"/>
                <w:lang w:val="en-US"/>
              </w:rPr>
              <w:t>FCR</w:t>
            </w:r>
          </w:p>
        </w:tc>
        <w:tc>
          <w:tcPr>
            <w:tcW w:w="82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55</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(28; 79)</w:t>
            </w:r>
          </w:p>
        </w:tc>
        <w:tc>
          <w:tcPr>
            <w:tcW w:w="82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(77; 94)</w:t>
            </w:r>
          </w:p>
        </w:tc>
        <w:tc>
          <w:tcPr>
            <w:tcW w:w="455"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0.71</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64</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(35; 85)</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(91; 100)</w:t>
            </w:r>
          </w:p>
        </w:tc>
        <w:tc>
          <w:tcPr>
            <w:tcW w:w="448"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0.81</w:t>
            </w:r>
          </w:p>
        </w:tc>
      </w:tr>
      <w:tr>
        <w:trPr>
          <w:trHeight w:val="283"/>
        </w:trPr>
        <w:tc>
          <w:tcPr>
            <w:tcW w:w="1631" w:type="pct"/>
            <w:gridSpan w:val="2"/>
            <w:hideMark/>
          </w:tcPr>
          <w:p>
            <w:pPr>
              <w:spacing w:after="26" w:line="360" w:lineRule="auto"/>
              <w:rPr>
                <w:rFonts w:ascii="Times New Roman" w:eastAsia="Times New Roman" w:hAnsi="Times New Roman" w:cs="Times New Roman"/>
                <w:b/>
                <w:sz w:val="24"/>
                <w:szCs w:val="24"/>
                <w:lang w:val="de-DE" w:eastAsia="en-GB"/>
              </w:rPr>
            </w:pPr>
            <w:r>
              <w:rPr>
                <w:rFonts w:ascii="Times New Roman" w:hAnsi="Times New Roman" w:cs="Times New Roman"/>
                <w:b/>
                <w:sz w:val="24"/>
                <w:szCs w:val="24"/>
                <w:lang w:val="en-US"/>
              </w:rPr>
              <w:t>Extensor wrist tendons</w:t>
            </w:r>
          </w:p>
        </w:tc>
        <w:tc>
          <w:tcPr>
            <w:tcW w:w="822" w:type="pct"/>
            <w:noWrap/>
          </w:tcPr>
          <w:p>
            <w:pPr>
              <w:spacing w:after="26" w:line="360" w:lineRule="auto"/>
              <w:rPr>
                <w:rFonts w:ascii="Times New Roman" w:eastAsia="Times New Roman" w:hAnsi="Times New Roman" w:cs="Times New Roman"/>
                <w:b/>
                <w:sz w:val="24"/>
                <w:szCs w:val="24"/>
                <w:lang w:val="de-DE" w:eastAsia="en-GB"/>
              </w:rPr>
            </w:pPr>
          </w:p>
        </w:tc>
        <w:tc>
          <w:tcPr>
            <w:tcW w:w="455" w:type="pct"/>
            <w:noWrap/>
          </w:tcPr>
          <w:p>
            <w:pPr>
              <w:spacing w:after="26" w:line="360" w:lineRule="auto"/>
              <w:rPr>
                <w:rFonts w:ascii="Times New Roman" w:eastAsia="Times New Roman" w:hAnsi="Times New Roman" w:cs="Times New Roman"/>
                <w:b/>
                <w:sz w:val="24"/>
                <w:szCs w:val="24"/>
                <w:lang w:val="de-DE" w:eastAsia="en-GB"/>
              </w:rPr>
            </w:pPr>
          </w:p>
        </w:tc>
        <w:tc>
          <w:tcPr>
            <w:tcW w:w="822" w:type="pct"/>
          </w:tcPr>
          <w:p>
            <w:pPr>
              <w:spacing w:after="26" w:line="360" w:lineRule="auto"/>
              <w:rPr>
                <w:rFonts w:ascii="Times New Roman" w:eastAsia="Times New Roman" w:hAnsi="Times New Roman" w:cs="Times New Roman"/>
                <w:b/>
                <w:sz w:val="24"/>
                <w:szCs w:val="24"/>
                <w:lang w:val="de-DE" w:eastAsia="en-GB"/>
              </w:rPr>
            </w:pPr>
          </w:p>
        </w:tc>
        <w:tc>
          <w:tcPr>
            <w:tcW w:w="822" w:type="pct"/>
          </w:tcPr>
          <w:p>
            <w:pPr>
              <w:spacing w:after="26" w:line="360" w:lineRule="auto"/>
              <w:rPr>
                <w:rFonts w:ascii="Times New Roman" w:eastAsia="Times New Roman" w:hAnsi="Times New Roman" w:cs="Times New Roman"/>
                <w:b/>
                <w:sz w:val="24"/>
                <w:szCs w:val="24"/>
                <w:lang w:val="de-DE" w:eastAsia="en-GB"/>
              </w:rPr>
            </w:pPr>
          </w:p>
        </w:tc>
        <w:tc>
          <w:tcPr>
            <w:tcW w:w="448" w:type="pct"/>
          </w:tcPr>
          <w:p>
            <w:pPr>
              <w:spacing w:after="26" w:line="360" w:lineRule="auto"/>
              <w:rPr>
                <w:rFonts w:ascii="Times New Roman" w:eastAsia="Times New Roman" w:hAnsi="Times New Roman" w:cs="Times New Roman"/>
                <w:b/>
                <w:sz w:val="24"/>
                <w:szCs w:val="24"/>
                <w:lang w:val="de-DE" w:eastAsia="en-GB"/>
              </w:rPr>
            </w:pPr>
          </w:p>
        </w:tc>
      </w:tr>
      <w:tr>
        <w:trPr>
          <w:trHeight w:val="283"/>
        </w:trPr>
        <w:tc>
          <w:tcPr>
            <w:tcW w:w="809" w:type="pct"/>
          </w:tcPr>
          <w:p>
            <w:pPr>
              <w:spacing w:afterLines="26" w:after="62" w:line="360" w:lineRule="auto"/>
              <w:rPr>
                <w:rFonts w:ascii="Times New Roman" w:hAnsi="Times New Roman" w:cs="Times New Roman"/>
                <w:sz w:val="24"/>
                <w:szCs w:val="24"/>
                <w:lang w:val="en-US"/>
              </w:rPr>
            </w:pPr>
            <w:r>
              <w:rPr>
                <w:rFonts w:ascii="Times New Roman" w:hAnsi="Times New Roman" w:cs="Times New Roman"/>
                <w:sz w:val="24"/>
                <w:szCs w:val="24"/>
                <w:lang w:val="en-US"/>
              </w:rPr>
              <w:t>ECR</w:t>
            </w:r>
          </w:p>
        </w:tc>
        <w:tc>
          <w:tcPr>
            <w:tcW w:w="82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(45; 94)</w:t>
            </w:r>
          </w:p>
        </w:tc>
        <w:tc>
          <w:tcPr>
            <w:tcW w:w="82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78</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(66; 87)</w:t>
            </w:r>
          </w:p>
        </w:tc>
        <w:tc>
          <w:tcPr>
            <w:tcW w:w="455"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0.78</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44</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(19; 73)</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0.72</w:t>
            </w:r>
          </w:p>
        </w:tc>
      </w:tr>
      <w:tr>
        <w:trPr>
          <w:trHeight w:val="283"/>
        </w:trPr>
        <w:tc>
          <w:tcPr>
            <w:tcW w:w="809" w:type="pct"/>
          </w:tcPr>
          <w:p>
            <w:pPr>
              <w:spacing w:afterLines="26" w:after="62" w:line="360" w:lineRule="auto"/>
              <w:rPr>
                <w:rFonts w:ascii="Times New Roman" w:hAnsi="Times New Roman" w:cs="Times New Roman"/>
                <w:sz w:val="24"/>
                <w:szCs w:val="24"/>
                <w:lang w:val="en-US"/>
              </w:rPr>
            </w:pPr>
            <w:r>
              <w:rPr>
                <w:rFonts w:ascii="Times New Roman" w:hAnsi="Times New Roman" w:cs="Times New Roman"/>
                <w:sz w:val="24"/>
                <w:szCs w:val="24"/>
                <w:lang w:val="en-US"/>
              </w:rPr>
              <w:t>EDC/IP</w:t>
            </w:r>
          </w:p>
        </w:tc>
        <w:tc>
          <w:tcPr>
            <w:tcW w:w="823"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(40; 89)</w:t>
            </w:r>
          </w:p>
        </w:tc>
        <w:tc>
          <w:tcPr>
            <w:tcW w:w="822"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83</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(72; 91)</w:t>
            </w:r>
          </w:p>
        </w:tc>
        <w:tc>
          <w:tcPr>
            <w:tcW w:w="455" w:type="pct"/>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0.77</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(24; 76)</w:t>
            </w:r>
          </w:p>
        </w:tc>
        <w:tc>
          <w:tcPr>
            <w:tcW w:w="822"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100</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 100)</w:t>
            </w:r>
          </w:p>
        </w:tc>
        <w:tc>
          <w:tcPr>
            <w:tcW w:w="448" w:type="pct"/>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0.75</w:t>
            </w:r>
          </w:p>
        </w:tc>
      </w:tr>
      <w:tr>
        <w:trPr>
          <w:trHeight w:val="624"/>
        </w:trPr>
        <w:tc>
          <w:tcPr>
            <w:tcW w:w="809" w:type="pct"/>
            <w:tcBorders>
              <w:top w:val="nil"/>
              <w:left w:val="nil"/>
              <w:bottom w:val="single" w:sz="4" w:space="0" w:color="auto"/>
              <w:right w:val="nil"/>
            </w:tcBorders>
          </w:tcPr>
          <w:p>
            <w:pPr>
              <w:spacing w:afterLines="26" w:after="62" w:line="360" w:lineRule="auto"/>
              <w:rPr>
                <w:rFonts w:ascii="Times New Roman" w:eastAsia="Calibri" w:hAnsi="Times New Roman" w:cs="Times New Roman"/>
                <w:sz w:val="24"/>
                <w:szCs w:val="24"/>
                <w:lang w:val="en-US"/>
              </w:rPr>
            </w:pPr>
            <w:r>
              <w:rPr>
                <w:rFonts w:ascii="Times New Roman" w:hAnsi="Times New Roman" w:cs="Times New Roman"/>
                <w:sz w:val="24"/>
                <w:szCs w:val="24"/>
                <w:lang w:val="en-US"/>
              </w:rPr>
              <w:t>ECU</w:t>
            </w:r>
          </w:p>
        </w:tc>
        <w:tc>
          <w:tcPr>
            <w:tcW w:w="823" w:type="pct"/>
            <w:tcBorders>
              <w:top w:val="nil"/>
              <w:left w:val="nil"/>
              <w:bottom w:val="single" w:sz="4" w:space="0" w:color="auto"/>
              <w:right w:val="nil"/>
            </w:tcBorders>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76</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(53; 90)</w:t>
            </w:r>
          </w:p>
        </w:tc>
        <w:tc>
          <w:tcPr>
            <w:tcW w:w="822" w:type="pct"/>
            <w:tcBorders>
              <w:top w:val="nil"/>
              <w:left w:val="nil"/>
              <w:bottom w:val="single" w:sz="4" w:space="0" w:color="auto"/>
              <w:right w:val="nil"/>
            </w:tcBorders>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79</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(67; 88)</w:t>
            </w:r>
          </w:p>
        </w:tc>
        <w:tc>
          <w:tcPr>
            <w:tcW w:w="455" w:type="pct"/>
            <w:tcBorders>
              <w:top w:val="nil"/>
              <w:left w:val="nil"/>
              <w:bottom w:val="single" w:sz="4" w:space="0" w:color="auto"/>
              <w:right w:val="nil"/>
            </w:tcBorders>
            <w:noWrap/>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0.78</w:t>
            </w:r>
          </w:p>
        </w:tc>
        <w:tc>
          <w:tcPr>
            <w:tcW w:w="822" w:type="pct"/>
            <w:tcBorders>
              <w:top w:val="nil"/>
              <w:left w:val="nil"/>
              <w:bottom w:val="single" w:sz="4" w:space="0" w:color="auto"/>
              <w:right w:val="nil"/>
            </w:tcBorders>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71</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(47; 87)</w:t>
            </w:r>
          </w:p>
        </w:tc>
        <w:tc>
          <w:tcPr>
            <w:tcW w:w="822" w:type="pct"/>
            <w:tcBorders>
              <w:top w:val="nil"/>
              <w:left w:val="nil"/>
              <w:bottom w:val="single" w:sz="4" w:space="0" w:color="auto"/>
              <w:right w:val="nil"/>
            </w:tcBorders>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94</w:t>
            </w:r>
          </w:p>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(85; 98)</w:t>
            </w:r>
          </w:p>
        </w:tc>
        <w:tc>
          <w:tcPr>
            <w:tcW w:w="448" w:type="pct"/>
            <w:tcBorders>
              <w:top w:val="nil"/>
              <w:left w:val="nil"/>
              <w:bottom w:val="single" w:sz="4" w:space="0" w:color="auto"/>
              <w:right w:val="nil"/>
            </w:tcBorders>
          </w:tcPr>
          <w:p>
            <w:pPr>
              <w:spacing w:after="26" w:line="360" w:lineRule="auto"/>
              <w:rPr>
                <w:rFonts w:ascii="Times New Roman" w:eastAsia="Times New Roman" w:hAnsi="Times New Roman" w:cs="Times New Roman"/>
                <w:sz w:val="24"/>
                <w:szCs w:val="24"/>
                <w:lang w:val="de-DE" w:eastAsia="en-GB"/>
              </w:rPr>
            </w:pPr>
            <w:r>
              <w:rPr>
                <w:rFonts w:ascii="Times New Roman" w:eastAsia="Times New Roman" w:hAnsi="Times New Roman" w:cs="Times New Roman"/>
                <w:sz w:val="24"/>
                <w:szCs w:val="24"/>
                <w:lang w:val="de-DE" w:eastAsia="en-GB"/>
              </w:rPr>
              <w:t>0.82</w:t>
            </w:r>
          </w:p>
        </w:tc>
      </w:tr>
    </w:tbl>
    <w:p>
      <w:pPr>
        <w:spacing w:line="360" w:lineRule="auto"/>
        <w:rPr>
          <w:rFonts w:ascii="Times New Roman" w:hAnsi="Times New Roman" w:cs="Times New Roman"/>
          <w:sz w:val="24"/>
          <w:szCs w:val="24"/>
        </w:rPr>
      </w:pPr>
      <w:r>
        <w:rPr>
          <w:rFonts w:ascii="Times New Roman" w:hAnsi="Times New Roman" w:cs="Times New Roman"/>
          <w:sz w:val="24"/>
          <w:szCs w:val="24"/>
        </w:rPr>
        <w:t xml:space="preserve">Test characteristics are shown in percentages with a 95% CI except for the AUC, area under the receiver operating characteristic curve. </w:t>
      </w:r>
    </w:p>
    <w:p>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GS: Grey-scale; PD: Power Doppler; E</w:t>
      </w:r>
      <w:r>
        <w:rPr>
          <w:rFonts w:ascii="Times New Roman" w:hAnsi="Times New Roman"/>
          <w:sz w:val="24"/>
          <w:szCs w:val="24"/>
          <w:lang w:val="en-US"/>
        </w:rPr>
        <w:t>xtensor carpi radialis longus et brevis: ECR; Extensor digitorum communis and indices proprius: EDC/IP; Extensor carpi ulnaris: ECU; Flexor carpi radialis: FCR; Flexor pollicis longus: FPL; Flexor digitorum superficialis and profundus: FDS/FDP; flexor digitorum (FD) tendons 2-5 on the MCP-level.</w:t>
      </w:r>
    </w:p>
    <w:p>
      <w:pPr>
        <w:rPr>
          <w:rFonts w:ascii="Times New Roman" w:hAnsi="Times New Roman" w:cs="Times New Roman"/>
          <w:sz w:val="24"/>
          <w:szCs w:val="24"/>
        </w:rPr>
      </w:pPr>
      <w:r>
        <w:rPr>
          <w:rFonts w:ascii="Times New Roman" w:hAnsi="Times New Roman" w:cs="Times New Roman"/>
          <w:sz w:val="24"/>
          <w:szCs w:val="24"/>
        </w:rPr>
        <w:br w:type="page"/>
      </w:r>
    </w:p>
    <w:p>
      <w:pPr>
        <w:pStyle w:val="Head3Wouter"/>
        <w:spacing w:before="0" w:line="480" w:lineRule="auto"/>
        <w:rPr>
          <w:rFonts w:cs="Times New Roman"/>
          <w:b w:val="0"/>
          <w:color w:val="auto"/>
          <w:lang w:val="en-GB"/>
        </w:rPr>
      </w:pPr>
      <w:r>
        <w:rPr>
          <w:rFonts w:cs="Times New Roman"/>
          <w:color w:val="auto"/>
          <w:lang w:val="en-GB"/>
        </w:rPr>
        <w:lastRenderedPageBreak/>
        <w:t xml:space="preserve">Table S8. </w:t>
      </w:r>
      <w:r>
        <w:rPr>
          <w:rFonts w:cs="Times New Roman"/>
          <w:b w:val="0"/>
          <w:color w:val="auto"/>
          <w:lang w:val="en-GB"/>
        </w:rPr>
        <w:t>Grey-scale Ultrasound detected synovitis according to EULAR-OMERACT definition versus Szkudlarek on MCP joint level.</w:t>
      </w:r>
    </w:p>
    <w:tbl>
      <w:tblPr>
        <w:tblW w:w="9198" w:type="dxa"/>
        <w:tblCellMar>
          <w:left w:w="70" w:type="dxa"/>
          <w:right w:w="70" w:type="dxa"/>
        </w:tblCellMar>
        <w:tblLook w:val="00A0" w:firstRow="1" w:lastRow="0" w:firstColumn="1" w:lastColumn="0" w:noHBand="0" w:noVBand="0"/>
      </w:tblPr>
      <w:tblGrid>
        <w:gridCol w:w="3189"/>
        <w:gridCol w:w="952"/>
        <w:gridCol w:w="1212"/>
        <w:gridCol w:w="1238"/>
        <w:gridCol w:w="181"/>
        <w:gridCol w:w="1085"/>
        <w:gridCol w:w="1341"/>
      </w:tblGrid>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MCP 2</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66" w:type="dxa"/>
            <w:gridSpan w:val="2"/>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31</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MCP 3</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66" w:type="dxa"/>
            <w:gridSpan w:val="2"/>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MCP 4</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19" w:type="dxa"/>
            <w:gridSpan w:val="2"/>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MCP 5</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pPr>
        <w:pStyle w:val="Head3Wouter"/>
        <w:spacing w:before="0" w:line="480" w:lineRule="auto"/>
        <w:rPr>
          <w:rFonts w:eastAsia="Calibri" w:cs="Times New Roman"/>
          <w:b w:val="0"/>
        </w:rPr>
      </w:pPr>
      <w:r>
        <w:rPr>
          <w:rFonts w:eastAsia="Calibri" w:cs="Times New Roman"/>
          <w:b w:val="0"/>
        </w:rPr>
        <w:t xml:space="preserve">Number of patients for each joint score according to Szkudlarek versus the EULAR/OMERACT revised score. Total number of patients was 70, but rarely a score was missing. </w:t>
      </w:r>
    </w:p>
    <w:p>
      <w:pPr>
        <w:pStyle w:val="Head3Wouter"/>
        <w:spacing w:before="0" w:line="480" w:lineRule="auto"/>
        <w:rPr>
          <w:rFonts w:cs="Times New Roman"/>
          <w:b w:val="0"/>
          <w:lang w:val="en-GB"/>
        </w:rPr>
      </w:pPr>
      <w:r>
        <w:rPr>
          <w:rFonts w:cs="Times New Roman"/>
          <w:b w:val="0"/>
        </w:rPr>
        <w:t>GS: Grey-scale</w:t>
      </w:r>
      <w:r>
        <w:rPr>
          <w:rFonts w:eastAsia="Calibri" w:cs="Times New Roman"/>
          <w:b w:val="0"/>
        </w:rPr>
        <w:t>.</w:t>
      </w:r>
      <w:r>
        <w:rPr>
          <w:rFonts w:eastAsia="Calibri" w:cs="Times New Roman"/>
        </w:rPr>
        <w:br w:type="page"/>
      </w:r>
      <w:r>
        <w:rPr>
          <w:rFonts w:cs="Times New Roman"/>
          <w:lang w:val="en-GB"/>
        </w:rPr>
        <w:lastRenderedPageBreak/>
        <w:t xml:space="preserve">Table S9. </w:t>
      </w:r>
      <w:r>
        <w:rPr>
          <w:rFonts w:cs="Times New Roman"/>
          <w:b w:val="0"/>
          <w:lang w:val="en-GB"/>
        </w:rPr>
        <w:t>Grey-scale Ultrasound detected synovitis (according to EULAR-OMERACT definition) versus Grey-scale Ultrasound detected synovitis (according to Szkudlarek) on wrist joint level.</w:t>
      </w:r>
    </w:p>
    <w:tbl>
      <w:tblPr>
        <w:tblW w:w="9198" w:type="dxa"/>
        <w:tblCellMar>
          <w:left w:w="70" w:type="dxa"/>
          <w:right w:w="70" w:type="dxa"/>
        </w:tblCellMar>
        <w:tblLook w:val="00A0" w:firstRow="1" w:lastRow="0" w:firstColumn="1" w:lastColumn="0" w:noHBand="0" w:noVBand="0"/>
      </w:tblPr>
      <w:tblGrid>
        <w:gridCol w:w="3189"/>
        <w:gridCol w:w="952"/>
        <w:gridCol w:w="1212"/>
        <w:gridCol w:w="1238"/>
        <w:gridCol w:w="181"/>
        <w:gridCol w:w="1085"/>
        <w:gridCol w:w="1341"/>
      </w:tblGrid>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Radio-Ulnar</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66" w:type="dxa"/>
            <w:gridSpan w:val="2"/>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53</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Radio-Carpal</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66" w:type="dxa"/>
            <w:gridSpan w:val="2"/>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Inter-Carpal</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pPr>
        <w:pStyle w:val="Head3Wouter"/>
        <w:spacing w:before="0" w:line="480" w:lineRule="auto"/>
        <w:rPr>
          <w:rFonts w:cs="Times New Roman"/>
          <w:b w:val="0"/>
          <w:lang w:val="en-GB"/>
        </w:rPr>
      </w:pPr>
      <w:r>
        <w:rPr>
          <w:rFonts w:cs="Times New Roman"/>
          <w:lang w:val="en-GB"/>
        </w:rPr>
        <w:lastRenderedPageBreak/>
        <w:t xml:space="preserve">Table S10. </w:t>
      </w:r>
      <w:r>
        <w:rPr>
          <w:rFonts w:cs="Times New Roman"/>
          <w:b w:val="0"/>
          <w:lang w:val="en-GB"/>
        </w:rPr>
        <w:t>Grey-scale Ultrasound detected synovitis (according to EULAR-OMERACT definition) versus Grey-scale Ultrasound detected synovitis (according to Szkudlarek) on MCP joint level.</w:t>
      </w:r>
    </w:p>
    <w:tbl>
      <w:tblPr>
        <w:tblW w:w="9198" w:type="dxa"/>
        <w:tblCellMar>
          <w:left w:w="70" w:type="dxa"/>
          <w:right w:w="70" w:type="dxa"/>
        </w:tblCellMar>
        <w:tblLook w:val="00A0" w:firstRow="1" w:lastRow="0" w:firstColumn="1" w:lastColumn="0" w:noHBand="0" w:noVBand="0"/>
      </w:tblPr>
      <w:tblGrid>
        <w:gridCol w:w="3189"/>
        <w:gridCol w:w="952"/>
        <w:gridCol w:w="1212"/>
        <w:gridCol w:w="1238"/>
        <w:gridCol w:w="181"/>
        <w:gridCol w:w="1085"/>
        <w:gridCol w:w="1341"/>
      </w:tblGrid>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MTP 1</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66" w:type="dxa"/>
            <w:gridSpan w:val="2"/>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MTP 2</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66" w:type="dxa"/>
            <w:gridSpan w:val="2"/>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266" w:type="dxa"/>
            <w:gridSpan w:val="2"/>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38"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66" w:type="dxa"/>
            <w:gridSpan w:val="2"/>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MTP 3</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32</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MTP 4</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45</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top w:val="single" w:sz="18" w:space="0" w:color="auto"/>
              <w:left w:val="nil"/>
              <w:bottom w:val="single" w:sz="4" w:space="0" w:color="auto"/>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MTP 5</w:t>
            </w:r>
          </w:p>
        </w:tc>
        <w:tc>
          <w:tcPr>
            <w:tcW w:w="952" w:type="dxa"/>
            <w:tcBorders>
              <w:top w:val="single" w:sz="18" w:space="0" w:color="auto"/>
              <w:left w:val="nil"/>
              <w:bottom w:val="single" w:sz="4" w:space="0" w:color="auto"/>
              <w:right w:val="nil"/>
            </w:tcBorders>
            <w:noWrap/>
            <w:vAlign w:val="center"/>
          </w:tcPr>
          <w:p>
            <w:pPr>
              <w:spacing w:after="0" w:line="480" w:lineRule="auto"/>
              <w:jc w:val="center"/>
              <w:rPr>
                <w:rFonts w:ascii="Times New Roman" w:hAnsi="Times New Roman" w:cs="Times New Roman"/>
                <w:b/>
                <w:color w:val="000000"/>
                <w:sz w:val="24"/>
                <w:szCs w:val="24"/>
              </w:rPr>
            </w:pPr>
          </w:p>
        </w:tc>
        <w:tc>
          <w:tcPr>
            <w:tcW w:w="5057" w:type="dxa"/>
            <w:gridSpan w:val="5"/>
            <w:tcBorders>
              <w:top w:val="single" w:sz="18" w:space="0" w:color="auto"/>
              <w:left w:val="nil"/>
              <w:bottom w:val="single" w:sz="4" w:space="0" w:color="auto"/>
              <w:right w:val="nil"/>
            </w:tcBorders>
            <w:noWrap/>
            <w:vAlign w:val="center"/>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Szkudlarek</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b/>
                <w:color w:val="000000"/>
                <w:sz w:val="24"/>
                <w:szCs w:val="24"/>
              </w:rPr>
            </w:pPr>
          </w:p>
        </w:tc>
        <w:tc>
          <w:tcPr>
            <w:tcW w:w="121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085"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341" w:type="dxa"/>
            <w:tcBorders>
              <w:top w:val="nil"/>
              <w:left w:val="nil"/>
              <w:bottom w:val="nil"/>
              <w:right w:val="nil"/>
            </w:tcBorders>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r>
      <w:tr>
        <w:trPr>
          <w:trHeight w:val="343"/>
        </w:trPr>
        <w:tc>
          <w:tcPr>
            <w:tcW w:w="4141" w:type="dxa"/>
            <w:gridSpan w:val="2"/>
            <w:tcBorders>
              <w:left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GS according to EULAR-OMERACT</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p>
        </w:tc>
      </w:tr>
      <w:tr>
        <w:trPr>
          <w:trHeight w:val="29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0</w:t>
            </w:r>
          </w:p>
        </w:tc>
        <w:tc>
          <w:tcPr>
            <w:tcW w:w="1212" w:type="dxa"/>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49</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1</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shd w:val="clear" w:color="auto" w:fill="E5B8B7" w:themeFill="accent2" w:themeFillTint="66"/>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085"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trPr>
          <w:trHeight w:val="283"/>
        </w:trPr>
        <w:tc>
          <w:tcPr>
            <w:tcW w:w="3189" w:type="dxa"/>
            <w:tcBorders>
              <w:left w:val="nil"/>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nil"/>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1212" w:type="dxa"/>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nil"/>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nil"/>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nil"/>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trPr>
          <w:trHeight w:val="283"/>
        </w:trPr>
        <w:tc>
          <w:tcPr>
            <w:tcW w:w="3189" w:type="dxa"/>
            <w:tcBorders>
              <w:left w:val="nil"/>
              <w:bottom w:val="single" w:sz="12" w:space="0" w:color="auto"/>
              <w:right w:val="nil"/>
            </w:tcBorders>
          </w:tcPr>
          <w:p>
            <w:pPr>
              <w:spacing w:after="0" w:line="480" w:lineRule="auto"/>
              <w:rPr>
                <w:rFonts w:ascii="Times New Roman" w:hAnsi="Times New Roman" w:cs="Times New Roman"/>
                <w:b/>
                <w:color w:val="000000"/>
                <w:sz w:val="24"/>
                <w:szCs w:val="24"/>
              </w:rPr>
            </w:pPr>
          </w:p>
        </w:tc>
        <w:tc>
          <w:tcPr>
            <w:tcW w:w="952" w:type="dxa"/>
            <w:tcBorders>
              <w:top w:val="nil"/>
              <w:left w:val="nil"/>
              <w:bottom w:val="single" w:sz="12" w:space="0" w:color="auto"/>
              <w:right w:val="nil"/>
            </w:tcBorders>
            <w:noWrap/>
            <w:vAlign w:val="bottom"/>
          </w:tcPr>
          <w:p>
            <w:pPr>
              <w:spacing w:after="0"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t>3</w:t>
            </w:r>
          </w:p>
        </w:tc>
        <w:tc>
          <w:tcPr>
            <w:tcW w:w="1212" w:type="dxa"/>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419" w:type="dxa"/>
            <w:gridSpan w:val="2"/>
            <w:tcBorders>
              <w:top w:val="nil"/>
              <w:left w:val="nil"/>
              <w:bottom w:val="single" w:sz="12" w:space="0" w:color="auto"/>
              <w:right w:val="nil"/>
            </w:tcBorders>
            <w:noWrap/>
            <w:vAlign w:val="bottom"/>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085" w:type="dxa"/>
            <w:tcBorders>
              <w:top w:val="nil"/>
              <w:left w:val="nil"/>
              <w:bottom w:val="single" w:sz="12" w:space="0" w:color="auto"/>
              <w:right w:val="nil"/>
            </w:tcBorders>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41" w:type="dxa"/>
            <w:tcBorders>
              <w:top w:val="nil"/>
              <w:left w:val="nil"/>
              <w:bottom w:val="single" w:sz="12" w:space="0" w:color="auto"/>
              <w:right w:val="nil"/>
            </w:tcBorders>
            <w:shd w:val="clear" w:color="auto" w:fill="E5B8B7" w:themeFill="accent2" w:themeFillTint="66"/>
          </w:tcPr>
          <w:p>
            <w:pPr>
              <w:spacing w:after="0" w:line="480" w:lineRule="auto"/>
              <w:rPr>
                <w:rFonts w:ascii="Times New Roman" w:hAnsi="Times New Roman" w:cs="Times New Roman"/>
                <w:color w:val="000000"/>
                <w:sz w:val="24"/>
                <w:szCs w:val="24"/>
              </w:rPr>
            </w:pPr>
            <w:r>
              <w:rPr>
                <w:rFonts w:ascii="Times New Roman" w:hAnsi="Times New Roman" w:cs="Times New Roman"/>
                <w:color w:val="000000"/>
                <w:sz w:val="24"/>
                <w:szCs w:val="24"/>
              </w:rPr>
              <w:t>0</w:t>
            </w:r>
          </w:p>
        </w:tc>
      </w:tr>
    </w:tbl>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rPr>
          <w:rFonts w:ascii="Times New Roman" w:eastAsia="PMingLiU" w:hAnsi="Times New Roman" w:cs="Times New Roman"/>
          <w:b/>
          <w:color w:val="000000" w:themeColor="text1"/>
          <w:sz w:val="24"/>
          <w:szCs w:val="24"/>
          <w:lang w:eastAsia="nl-NL"/>
        </w:rPr>
      </w:pPr>
    </w:p>
    <w:p>
      <w:pPr>
        <w:pStyle w:val="Head3Wouter"/>
        <w:spacing w:line="480" w:lineRule="auto"/>
        <w:rPr>
          <w:rFonts w:cs="Times New Roman"/>
        </w:rPr>
      </w:pPr>
      <w:r>
        <w:rPr>
          <w:rFonts w:cs="Times New Roman"/>
        </w:rPr>
        <w:lastRenderedPageBreak/>
        <w:t>FIGURES</w:t>
      </w:r>
    </w:p>
    <w:p>
      <w:pPr>
        <w:pStyle w:val="Head3Wouter"/>
        <w:spacing w:before="0" w:line="480" w:lineRule="auto"/>
        <w:rPr>
          <w:rFonts w:cs="Times New Roman"/>
          <w:b w:val="0"/>
          <w:lang w:val="en-GB"/>
        </w:rPr>
      </w:pPr>
      <w:r>
        <w:rPr>
          <w:rFonts w:cs="Times New Roman"/>
          <w:lang w:val="en-GB"/>
        </w:rPr>
        <w:t>Figure S1</w:t>
      </w:r>
      <w:r>
        <w:rPr>
          <w:rFonts w:cs="Times New Roman"/>
          <w:b w:val="0"/>
          <w:lang w:val="en-GB"/>
        </w:rPr>
        <w:t xml:space="preserve">. </w:t>
      </w:r>
      <w:bookmarkStart w:id="4" w:name="OLE_LINK1"/>
      <w:r>
        <w:rPr>
          <w:rFonts w:cs="Times New Roman"/>
          <w:b w:val="0"/>
          <w:lang w:val="en-GB"/>
        </w:rPr>
        <w:t>Grey-scale (according to EULAR-OMERACT definition; A,B,C) and power Doppler Ultrasound-detected synovitis (D,E,F) versus MRI-detected synovitis on MCP, wrist, and MTP joint level</w:t>
      </w:r>
      <w:bookmarkEnd w:id="4"/>
      <w:r>
        <w:rPr>
          <w:rFonts w:cs="Times New Roman"/>
          <w:b w:val="0"/>
          <w:lang w:val="en-GB"/>
        </w:rPr>
        <w:t xml:space="preserve"> for IA. </w:t>
      </w:r>
    </w:p>
    <w:p>
      <w:pPr>
        <w:pStyle w:val="NormalWouter"/>
        <w:rPr>
          <w:rFonts w:cs="Times New Roman"/>
          <w:lang w:val="en-GB" w:eastAsia="nl-NL"/>
        </w:rPr>
      </w:pPr>
      <w:r>
        <w:rPr>
          <w:rFonts w:cs="Times New Roman"/>
          <w:noProof/>
          <w:lang w:val="de-DE" w:eastAsia="de-DE"/>
        </w:rPr>
        <w:drawing>
          <wp:inline distT="0" distB="0" distL="0" distR="0">
            <wp:extent cx="5629275" cy="7045013"/>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1F2_EAC.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9993" cy="7045911"/>
                    </a:xfrm>
                    <a:prstGeom prst="rect">
                      <a:avLst/>
                    </a:prstGeom>
                  </pic:spPr>
                </pic:pic>
              </a:graphicData>
            </a:graphic>
          </wp:inline>
        </w:drawing>
      </w:r>
    </w:p>
    <w:p>
      <w:pPr>
        <w:pStyle w:val="Head3Wouter"/>
        <w:spacing w:before="0" w:line="480" w:lineRule="auto"/>
        <w:rPr>
          <w:rFonts w:cs="Times New Roman"/>
          <w:b w:val="0"/>
          <w:lang w:val="en-GB"/>
        </w:rPr>
      </w:pPr>
      <w:r>
        <w:rPr>
          <w:rFonts w:cs="Times New Roman"/>
          <w:lang w:val="en-GB"/>
        </w:rPr>
        <w:lastRenderedPageBreak/>
        <w:t>Figure S2</w:t>
      </w:r>
      <w:r>
        <w:rPr>
          <w:rFonts w:cs="Times New Roman"/>
          <w:b w:val="0"/>
          <w:lang w:val="en-GB"/>
        </w:rPr>
        <w:t xml:space="preserve">. Grey-scale (according to EULAR-OMERACT definition; A,B,C) and power Doppler Ultrasound-detected synovitis (D,E,F) versus MRI-detected synovitis on MCP, wrist, and MTP joint level for CSA. </w:t>
      </w:r>
    </w:p>
    <w:p>
      <w:pPr>
        <w:pStyle w:val="NormalWouter"/>
        <w:rPr>
          <w:rFonts w:cs="Times New Roman"/>
        </w:rPr>
      </w:pPr>
      <w:r>
        <w:rPr>
          <w:rFonts w:cs="Times New Roman"/>
          <w:noProof/>
          <w:lang w:val="de-DE" w:eastAsia="de-DE"/>
        </w:rPr>
        <w:drawing>
          <wp:inline distT="0" distB="0" distL="0" distR="0">
            <wp:extent cx="5731510" cy="7158990"/>
            <wp:effectExtent l="0" t="0" r="254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1F2_CSA.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158990"/>
                    </a:xfrm>
                    <a:prstGeom prst="rect">
                      <a:avLst/>
                    </a:prstGeom>
                  </pic:spPr>
                </pic:pic>
              </a:graphicData>
            </a:graphic>
          </wp:inline>
        </w:drawing>
      </w:r>
    </w:p>
    <w:p>
      <w:pPr>
        <w:pStyle w:val="NormalWouter"/>
        <w:rPr>
          <w:rFonts w:cs="Times New Roman"/>
        </w:rPr>
      </w:pPr>
      <w:r>
        <w:rPr>
          <w:rFonts w:cs="Times New Roman"/>
        </w:rPr>
        <w:br w:type="page"/>
      </w:r>
    </w:p>
    <w:p>
      <w:pPr>
        <w:pStyle w:val="Head3Wouter"/>
        <w:spacing w:before="0" w:line="480" w:lineRule="auto"/>
        <w:rPr>
          <w:rFonts w:cs="Times New Roman"/>
          <w:b w:val="0"/>
          <w:color w:val="auto"/>
          <w:lang w:val="en-GB"/>
        </w:rPr>
      </w:pPr>
      <w:r>
        <w:rPr>
          <w:rFonts w:cs="Times New Roman"/>
          <w:color w:val="auto"/>
          <w:lang w:val="en-GB"/>
        </w:rPr>
        <w:lastRenderedPageBreak/>
        <w:t xml:space="preserve">Figure S3. </w:t>
      </w:r>
      <w:r>
        <w:rPr>
          <w:rFonts w:cs="Times New Roman"/>
          <w:b w:val="0"/>
          <w:color w:val="auto"/>
          <w:lang w:val="en-GB"/>
        </w:rPr>
        <w:t>Grey-scale (A,B,C)</w:t>
      </w:r>
      <w:r>
        <w:rPr>
          <w:rFonts w:cs="Times New Roman"/>
          <w:color w:val="auto"/>
          <w:lang w:val="en-GB"/>
        </w:rPr>
        <w:t xml:space="preserve"> </w:t>
      </w:r>
      <w:r>
        <w:rPr>
          <w:rFonts w:cs="Times New Roman"/>
          <w:b w:val="0"/>
          <w:color w:val="auto"/>
          <w:lang w:val="en-GB"/>
        </w:rPr>
        <w:t xml:space="preserve">and power Doppler Ultrasound-detected tenosynovitis (D,E,F) versus MRI-detected tenosynovitis of MCP flexor 2-5, wrist flexor and extensor tendons for IA. </w:t>
      </w:r>
    </w:p>
    <w:p>
      <w:pPr>
        <w:pStyle w:val="NormalWouter"/>
        <w:rPr>
          <w:rFonts w:cs="Times New Roman"/>
          <w:color w:val="FF0000"/>
          <w:lang w:val="en-GB" w:eastAsia="nl-NL"/>
        </w:rPr>
      </w:pPr>
      <w:r>
        <w:rPr>
          <w:rFonts w:cs="Times New Roman"/>
          <w:noProof/>
          <w:color w:val="FF0000"/>
          <w:lang w:val="de-DE" w:eastAsia="de-DE"/>
        </w:rPr>
        <w:drawing>
          <wp:inline distT="0" distB="0" distL="0" distR="0">
            <wp:extent cx="5731510" cy="714883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3F4_EAC.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7148830"/>
                    </a:xfrm>
                    <a:prstGeom prst="rect">
                      <a:avLst/>
                    </a:prstGeom>
                  </pic:spPr>
                </pic:pic>
              </a:graphicData>
            </a:graphic>
          </wp:inline>
        </w:drawing>
      </w:r>
    </w:p>
    <w:p>
      <w:pPr>
        <w:pStyle w:val="Head3Wouter"/>
        <w:spacing w:before="0" w:line="480" w:lineRule="auto"/>
        <w:rPr>
          <w:rFonts w:cs="Times New Roman"/>
          <w:b w:val="0"/>
          <w:color w:val="auto"/>
          <w:lang w:val="en-GB"/>
        </w:rPr>
      </w:pPr>
      <w:r>
        <w:rPr>
          <w:rFonts w:cs="Times New Roman"/>
          <w:color w:val="auto"/>
          <w:lang w:val="en-GB"/>
        </w:rPr>
        <w:lastRenderedPageBreak/>
        <w:t xml:space="preserve">Figure S4. </w:t>
      </w:r>
      <w:r>
        <w:rPr>
          <w:rFonts w:cs="Times New Roman"/>
          <w:b w:val="0"/>
          <w:color w:val="auto"/>
          <w:lang w:val="en-GB"/>
        </w:rPr>
        <w:t>Grey-scale (A,B,C)</w:t>
      </w:r>
      <w:r>
        <w:rPr>
          <w:rFonts w:cs="Times New Roman"/>
          <w:color w:val="auto"/>
          <w:lang w:val="en-GB"/>
        </w:rPr>
        <w:t xml:space="preserve"> </w:t>
      </w:r>
      <w:r>
        <w:rPr>
          <w:rFonts w:cs="Times New Roman"/>
          <w:b w:val="0"/>
          <w:color w:val="auto"/>
          <w:lang w:val="en-GB"/>
        </w:rPr>
        <w:t xml:space="preserve">and power Doppler Ultrasound-detected tenosynovitis (D,E,F) versus MRI-detected tenosynovitis of MCP flexor 2-5, wrist flexor and extensor tendons for CSA. </w:t>
      </w:r>
    </w:p>
    <w:p>
      <w:pPr>
        <w:pStyle w:val="NormalWouter"/>
        <w:rPr>
          <w:rFonts w:cs="Times New Roman"/>
          <w:color w:val="FF0000"/>
        </w:rPr>
      </w:pPr>
      <w:r>
        <w:rPr>
          <w:rFonts w:cs="Times New Roman"/>
          <w:noProof/>
          <w:color w:val="FF0000"/>
          <w:lang w:val="de-DE" w:eastAsia="de-DE"/>
        </w:rPr>
        <w:drawing>
          <wp:inline distT="0" distB="0" distL="0" distR="0">
            <wp:extent cx="5731510" cy="714883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3F4_CSA.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148830"/>
                    </a:xfrm>
                    <a:prstGeom prst="rect">
                      <a:avLst/>
                    </a:prstGeom>
                  </pic:spPr>
                </pic:pic>
              </a:graphicData>
            </a:graphic>
          </wp:inline>
        </w:drawing>
      </w:r>
      <w:r>
        <w:rPr>
          <w:rFonts w:cs="Times New Roman"/>
          <w:color w:val="FF0000"/>
        </w:rPr>
        <w:br w:type="page"/>
      </w:r>
    </w:p>
    <w:p>
      <w:pPr>
        <w:rPr>
          <w:rFonts w:ascii="Times New Roman" w:eastAsiaTheme="minorEastAsia" w:hAnsi="Times New Roman" w:cs="Times New Roman"/>
          <w:b/>
          <w:sz w:val="24"/>
          <w:szCs w:val="24"/>
          <w:lang w:eastAsia="zh-TW"/>
        </w:rPr>
      </w:pPr>
      <w:r>
        <w:rPr>
          <w:rFonts w:ascii="Times New Roman" w:eastAsiaTheme="minorEastAsia" w:hAnsi="Times New Roman" w:cs="Times New Roman"/>
          <w:b/>
          <w:sz w:val="24"/>
          <w:szCs w:val="24"/>
          <w:lang w:eastAsia="zh-TW"/>
        </w:rPr>
        <w:lastRenderedPageBreak/>
        <w:t>SUPPLEMENTARY METHODS</w:t>
      </w:r>
    </w:p>
    <w:p>
      <w:pPr>
        <w:pStyle w:val="Head3Wouter"/>
        <w:spacing w:after="240" w:line="240" w:lineRule="auto"/>
        <w:rPr>
          <w:rFonts w:cs="Times New Roman"/>
          <w:i/>
          <w:lang w:val="en-GB"/>
        </w:rPr>
      </w:pPr>
    </w:p>
    <w:p>
      <w:pPr>
        <w:pStyle w:val="Head3Wouter"/>
        <w:spacing w:after="240" w:line="240" w:lineRule="auto"/>
        <w:rPr>
          <w:rFonts w:cs="Times New Roman"/>
          <w:i/>
          <w:lang w:val="en-GB"/>
        </w:rPr>
      </w:pPr>
      <w:r>
        <w:rPr>
          <w:rFonts w:cs="Times New Roman"/>
          <w:i/>
          <w:lang w:val="en-GB"/>
        </w:rPr>
        <w:t>Patients</w:t>
      </w:r>
    </w:p>
    <w:p>
      <w:pPr>
        <w:spacing w:line="480" w:lineRule="auto"/>
        <w:rPr>
          <w:rFonts w:ascii="Times New Roman" w:hAnsi="Times New Roman"/>
          <w:sz w:val="24"/>
          <w:szCs w:val="24"/>
        </w:rPr>
      </w:pPr>
      <w:r>
        <w:rPr>
          <w:rFonts w:ascii="Times New Roman" w:hAnsi="Times New Roman"/>
          <w:sz w:val="24"/>
          <w:szCs w:val="24"/>
        </w:rPr>
        <w:t>Inclusion in the EAC-cohort required having recent-onset clinically evident IA of ≥1 joint with a symptom duration &lt;2 years, as described previously</w:t>
      </w:r>
      <w:r>
        <w:rPr>
          <w:rFonts w:ascii="Times New Roman" w:hAnsi="Times New Roman"/>
          <w:sz w:val="24"/>
          <w:szCs w:val="24"/>
        </w:rPr>
        <w:fldChar w:fldCharType="begin">
          <w:fldData xml:space="preserve">PEVuZE5vdGU+PENpdGU+PEF1dGhvcj5OaWV1d2VuaHVpczwvQXV0aG9yPjxZZWFyPjIwMTc8L1ll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PEVuZE5vdGU+PENpdGU+PEF1dGhvcj5OaWV1d2VuaHVpczwvQXV0aG9yPjxZZWFyPjIwMTc8L1ll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cs="Times New Roman"/>
          <w:noProof/>
          <w:sz w:val="24"/>
          <w:szCs w:val="24"/>
        </w:rPr>
        <w:t>[4]</w:t>
      </w:r>
      <w:r>
        <w:rPr>
          <w:rFonts w:ascii="Times New Roman" w:hAnsi="Times New Roman"/>
          <w:sz w:val="24"/>
          <w:szCs w:val="24"/>
        </w:rPr>
        <w:fldChar w:fldCharType="end"/>
      </w:r>
      <w:r>
        <w:rPr>
          <w:rFonts w:ascii="Times New Roman" w:hAnsi="Times New Roman"/>
          <w:sz w:val="24"/>
          <w:szCs w:val="24"/>
        </w:rPr>
        <w:t>. Inclusion in the CSA-cohort, which has the aim to study the symptomatic phase of RA preceding clinical arthritis, required the presence of arthralgia of small joints for &lt;1 year which was, due to the character of the symptoms, considered as being suspect to progress to RA by a rheumatologist. CSA was identified at the first visit, before the results of routine laboratory investigations were known. A detailed description is provided elsewhere</w:t>
      </w:r>
      <w:r>
        <w:rPr>
          <w:rFonts w:ascii="Times New Roman" w:hAnsi="Times New Roman"/>
          <w:sz w:val="24"/>
          <w:szCs w:val="24"/>
        </w:rPr>
        <w:fldChar w:fldCharType="begin">
          <w:fldData xml:space="preserve">PEVuZE5vdGU+PENpdGU+PEF1dGhvcj52YW4gU3RlZW5iZXJnZW48L0F1dGhvcj48WWVhcj4yMDE1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PEVuZE5vdGU+PENpdGU+PEF1dGhvcj52YW4gU3RlZW5iZXJnZW48L0F1dGhvcj48WWVhcj4yMDE1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cs="Times New Roman"/>
          <w:noProof/>
          <w:sz w:val="24"/>
          <w:szCs w:val="24"/>
        </w:rPr>
        <w:t>[5]</w:t>
      </w:r>
      <w:r>
        <w:rPr>
          <w:rFonts w:ascii="Times New Roman" w:hAnsi="Times New Roman"/>
          <w:sz w:val="24"/>
          <w:szCs w:val="24"/>
        </w:rPr>
        <w:fldChar w:fldCharType="end"/>
      </w:r>
      <w:r>
        <w:rPr>
          <w:rFonts w:ascii="Times New Roman" w:hAnsi="Times New Roman"/>
          <w:sz w:val="24"/>
          <w:szCs w:val="24"/>
        </w:rPr>
        <w:t>.</w:t>
      </w:r>
    </w:p>
    <w:p>
      <w:pPr>
        <w:pStyle w:val="NormalWouter"/>
        <w:rPr>
          <w:lang w:val="en-GB" w:eastAsia="nl-NL"/>
        </w:rPr>
      </w:pPr>
    </w:p>
    <w:p>
      <w:pPr>
        <w:pStyle w:val="Head3Wouter"/>
        <w:spacing w:after="240" w:line="240" w:lineRule="auto"/>
        <w:rPr>
          <w:rFonts w:cs="Times New Roman"/>
          <w:i/>
          <w:lang w:val="en-GB"/>
        </w:rPr>
      </w:pPr>
      <w:r>
        <w:rPr>
          <w:rFonts w:cs="Times New Roman"/>
          <w:i/>
          <w:lang w:val="en-GB"/>
        </w:rPr>
        <w:t>Study protocol</w:t>
      </w:r>
    </w:p>
    <w:p>
      <w:pPr>
        <w:pStyle w:val="NormalWouter"/>
      </w:pPr>
      <w:r>
        <w:t>At inclusion, all patients had physical examination including 66-swollen and 68-tender joint counts. Laboratory investigations were performed and questionnaires completed. All patients underwent unilateral contrast enhanced MRI of metacarpophalangeal (MCP)-, wrist and metatarsophalangeal (MTP)-joints and musculoskeletal US at the same day &lt;2weeks after first presentation.</w:t>
      </w:r>
    </w:p>
    <w:p>
      <w:pPr>
        <w:pStyle w:val="NormalWouter"/>
        <w:rPr>
          <w:lang w:val="en-GB" w:eastAsia="nl-NL"/>
        </w:rPr>
      </w:pPr>
    </w:p>
    <w:p>
      <w:pPr>
        <w:pStyle w:val="Head3Wouter"/>
        <w:spacing w:after="240" w:line="240" w:lineRule="auto"/>
        <w:rPr>
          <w:rFonts w:cs="Times New Roman"/>
          <w:i/>
          <w:lang w:val="en-GB"/>
        </w:rPr>
      </w:pPr>
      <w:r>
        <w:rPr>
          <w:rFonts w:cs="Times New Roman"/>
          <w:i/>
          <w:lang w:val="en-GB"/>
        </w:rPr>
        <w:t>MRI protocol</w:t>
      </w:r>
    </w:p>
    <w:p>
      <w:pPr>
        <w:spacing w:after="0" w:line="480" w:lineRule="auto"/>
        <w:rPr>
          <w:rFonts w:ascii="Times New Roman" w:hAnsi="Times New Roman" w:cs="Times New Roman"/>
          <w:sz w:val="24"/>
          <w:szCs w:val="24"/>
        </w:rPr>
      </w:pPr>
      <w:r>
        <w:rPr>
          <w:rFonts w:ascii="Times New Roman" w:hAnsi="Times New Roman" w:cs="Times New Roman"/>
          <w:sz w:val="24"/>
          <w:szCs w:val="24"/>
        </w:rPr>
        <w:t>MR imaging was performed on a MSK-extreme 1.5T extremity MR imaging system (GE, Wisconsin, USA) using a 145mm coil for the foot and a 100mm coil for the hand. The patient was positioned in a chair beside the scanner, with the hand or foot fixed in the coil with cushions.</w:t>
      </w:r>
    </w:p>
    <w:p>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For all patients an MRI was made at baseline, with gadolinium contrast enhancement for metacarpophalangeal (MCP)-, wrist-and metatarsophalangeal (MTP)-joints. In the hand (MCP 2-5 and wrist) the following sequence was acquired before contrast administration: T1-weighted fast spin-echo (FSE) sequence in the coronal plane (repetition time (TR) 575ms, echo time (TE) 11.2ms, acquisition matrix 388×288, echo train length (ETL) 2). After intravenous injection of gadolinium contrast (gadoteric acid, Guerbet, Paris, France, standard dose of 0.1mmol/kg) the following sequences were obtained: T1-weighted FSE sequence with frequency selective fat saturation (fatsat) in the coronal plane (TR/TE 700/9.7ms, acquisition matrix 364×224, ETL 2), T1-weighted FSE sequence with frequency selective fat saturation in the axial plane (wrist: TR/TE 540/7.7ms; acquisition matrix 320x192; ETL 2 and MCP-joints: TR/TE 570/7.7ms; acquisition matrix 320x192; ETL 2). The obtained sequences of the forefoot (MTP 1-5 joints) were post-contrast imaging of the foot: T1-weighted FSE fatsat sequence in the axial plane (TR/TE 700/9.5ms; acquisition matrix 364x224, ETL 2) and: T1-weighted FSE fatsat sequence in the coronal plane (perpendicular to the axis of the MTP-joints) (TR/TE 540/7.5ms; acquisition matrix 320x192, ETL 2). </w:t>
      </w:r>
    </w:p>
    <w:p>
      <w:pPr>
        <w:spacing w:after="0" w:line="480" w:lineRule="auto"/>
        <w:rPr>
          <w:rFonts w:ascii="Times New Roman" w:hAnsi="Times New Roman" w:cs="Times New Roman"/>
          <w:sz w:val="24"/>
          <w:szCs w:val="24"/>
        </w:rPr>
      </w:pPr>
      <w:r>
        <w:rPr>
          <w:rFonts w:ascii="Times New Roman" w:hAnsi="Times New Roman" w:cs="Times New Roman"/>
          <w:sz w:val="24"/>
          <w:szCs w:val="24"/>
        </w:rPr>
        <w:t>Field-of-view was 100mm for the hand and 140mm for the foot. Coronal sequences of the hand had 18 slices with a slice thickness of 2mm and a slice gap of 0.2mm. Coronal sequences of the foot had 20 slices with a slice thickness of 3mm and a slice gap of 0.3mm. All axial sequences had a slice thickness of 3mm and a slice gap of 0.3mm with 20 slices for the wrist, 16 for the MCP-joints and 14 for the foot.</w:t>
      </w:r>
    </w:p>
    <w:p>
      <w:pPr>
        <w:spacing w:after="0" w:line="480" w:lineRule="auto"/>
        <w:rPr>
          <w:rFonts w:ascii="Times New Roman" w:hAnsi="Times New Roman" w:cs="Times New Roman"/>
          <w:sz w:val="24"/>
          <w:szCs w:val="24"/>
        </w:rPr>
      </w:pPr>
    </w:p>
    <w:p>
      <w:pPr>
        <w:pStyle w:val="Head3Wouter"/>
        <w:spacing w:after="240"/>
        <w:rPr>
          <w:rFonts w:cs="Times New Roman"/>
          <w:i/>
          <w:lang w:val="en-GB"/>
        </w:rPr>
      </w:pPr>
      <w:r>
        <w:rPr>
          <w:rFonts w:cs="Times New Roman"/>
          <w:i/>
          <w:lang w:val="en-GB"/>
        </w:rPr>
        <w:t>MRI scoring and dichotomizing</w:t>
      </w:r>
    </w:p>
    <w:p>
      <w:pPr>
        <w:pStyle w:val="NormalWouter"/>
        <w:rPr>
          <w:rFonts w:cs="Times New Roman"/>
        </w:rPr>
      </w:pPr>
      <w:r>
        <w:rPr>
          <w:rFonts w:cs="Times New Roman"/>
          <w:lang w:val="en-GB"/>
        </w:rPr>
        <w:t>All bones and joints were scored semi-quantitatively in line with the validated RA MRI scoring system (RAMRIS) and the protocol was identical for all patients as described in previous studies</w:t>
      </w:r>
      <w:r>
        <w:fldChar w:fldCharType="begin">
          <w:fldData xml:space="preserve">PEVuZE5vdGU+PENpdGU+PEF1dGhvcj5OaWV1d2VuaHVpczwvQXV0aG9yPjxZZWFyPjIwMTc8L1ll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</w:fldData>
        </w:fldChar>
      </w:r>
      <w:r>
        <w:instrText xml:space="preserve"> ADDIN EN.CITE </w:instrText>
      </w:r>
      <w:r>
        <w:fldChar w:fldCharType="begin">
          <w:fldData xml:space="preserve">PEVuZE5vdGU+PENpdGU+PEF1dGhvcj5OaWV1d2VuaHVpczwvQXV0aG9yPjxZZWFyPjIwMTc8L1ll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</w:fldData>
        </w:fldChar>
      </w:r>
      <w:r>
        <w:instrText xml:space="preserve"> ADDIN EN.CITE.DATA </w:instrText>
      </w:r>
      <w:r>
        <w:fldChar w:fldCharType="end"/>
      </w:r>
      <w:r>
        <w:fldChar w:fldCharType="separate"/>
      </w:r>
      <w:r>
        <w:rPr>
          <w:rFonts w:cs="Times New Roman"/>
          <w:noProof/>
        </w:rPr>
        <w:t>[4-6]</w:t>
      </w:r>
      <w:r>
        <w:fldChar w:fldCharType="end"/>
      </w:r>
      <w:r>
        <w:t>.</w:t>
      </w:r>
      <w:r>
        <w:rPr>
          <w:rFonts w:cs="Times New Roman"/>
          <w:lang w:val="en-GB"/>
        </w:rPr>
        <w:t xml:space="preserve"> Synovitis was scored in line with the Outcome Measures in </w:t>
      </w:r>
      <w:r>
        <w:rPr>
          <w:rFonts w:cs="Times New Roman"/>
          <w:lang w:val="en-GB"/>
        </w:rPr>
        <w:lastRenderedPageBreak/>
        <w:t>Rheumatology Clinical Trials (OMERACT) RAMRIS</w:t>
      </w:r>
      <w:r>
        <w:rPr>
          <w:rFonts w:cs="Times New Roman"/>
        </w:rPr>
        <w:fldChar w:fldCharType="begin"/>
      </w:r>
      <w:r>
        <w:rPr>
          <w:rFonts w:cs="Times New Roman"/>
        </w:rPr>
        <w:instrText xml:space="preserve"> ADDIN EN.CITE &lt;EndNote&gt;&lt;Cite&gt;&lt;Author&gt;Ostergaard&lt;/Author&gt;&lt;Year&gt;2005&lt;/Year&gt;&lt;RecNum&gt;9&lt;/RecNum&gt;&lt;DisplayText&gt;&lt;style font="Times New Roman" size="12"&gt;[7]&lt;/style&gt;&lt;/DisplayText&gt;&lt;record&gt;&lt;rec-number&gt;9&lt;/rec-number&gt;&lt;foreign-keys&gt;&lt;key app="EN" db-id="vsatdff02v9dwoepf0avfta10fazx9dtd9wr" timestamp="1476714354"&gt;9&lt;/key&gt;&lt;/foreign-keys&gt;&lt;ref-type name="Journal Article"&gt;17&lt;/ref-type&gt;&lt;contributors&gt;&lt;authors&gt;&lt;author&gt;Ostergaard, M.&lt;/author&gt;&lt;author&gt;Edmonds, J.&lt;/author&gt;&lt;author&gt;McQueen, F.&lt;/author&gt;&lt;author&gt;Peterfy, C.&lt;/author&gt;&lt;author&gt;Lassere, M.&lt;/author&gt;&lt;author&gt;Ejbjerg, B.&lt;/author&gt;&lt;author&gt;Bird, P.&lt;/author&gt;&lt;author&gt;Emery, P.&lt;/author&gt;&lt;author&gt;Genant, H.&lt;/author&gt;&lt;author&gt;Conaghan, P.&lt;/author&gt;&lt;/authors&gt;&lt;/contributors&gt;&lt;auth-address&gt;Department of Rheumatology, Copenhagen University Hospital at Hvidovre, Kettegaard alle 30, DK-2650 Hvidovre, Denmark. mo@dadlnet.dk&lt;/auth-address&gt;&lt;titles&gt;&lt;title&gt;An introduction to the EULAR-OMERACT rheumatoid arthritis MRI reference image atlas&lt;/title&gt;&lt;secondary-title&gt;Ann Rheum Dis&lt;/secondary-title&gt;&lt;/titles&gt;&lt;periodical&gt;&lt;full-title&gt;Ann Rheum Dis&lt;/full-title&gt;&lt;/periodical&gt;&lt;pages&gt;i3-7&lt;/pages&gt;&lt;volume&gt;64 Suppl 1&lt;/volume&gt;&lt;keywords&gt;&lt;keyword&gt;Arthritis, Rheumatoid/*diagnosis&lt;/keyword&gt;&lt;keyword&gt;Bone Diseases/diagnosis&lt;/keyword&gt;&lt;keyword&gt;Bone and Bones/pathology&lt;/keyword&gt;&lt;keyword&gt;Edema/diagnosis&lt;/keyword&gt;&lt;keyword&gt;Humans&lt;/keyword&gt;&lt;keyword&gt;Joints/*pathology&lt;/keyword&gt;&lt;keyword&gt;*Magnetic Resonance Imaging&lt;/keyword&gt;&lt;keyword&gt;*Medical Illustration&lt;/keyword&gt;&lt;keyword&gt;Synovitis/diagnosis&lt;/keyword&gt;&lt;/keywords&gt;&lt;dates&gt;&lt;year&gt;2005&lt;/year&gt;&lt;pub-dates&gt;&lt;date&gt;Feb&lt;/date&gt;&lt;/pub-dates&gt;&lt;/dates&gt;&lt;isbn&gt;0003-4967 (Print)&amp;#xD;0003-4967 (Linking)&lt;/isbn&gt;&lt;accession-num&gt;15647420&lt;/accession-num&gt;&lt;urls&gt;&lt;related-urls&gt;&lt;url&gt;http://www.ncbi.nlm.nih.gov/pubmed/15647420&lt;/url&gt;&lt;/related-urls&gt;&lt;/urls&gt;&lt;custom2&gt;PMC1766828&lt;/custom2&gt;&lt;electronic-resource-num&gt;10.1136/ard.2004.031773&lt;/electronic-resource-num&gt;&lt;/record&gt;&lt;/Cite&gt;&lt;/EndNote&gt;</w:instrText>
      </w:r>
      <w:r>
        <w:rPr>
          <w:rFonts w:cs="Times New Roman"/>
        </w:rPr>
        <w:fldChar w:fldCharType="separate"/>
      </w:r>
      <w:r>
        <w:rPr>
          <w:rFonts w:cs="Times New Roman"/>
          <w:noProof/>
        </w:rPr>
        <w:t>[7]</w:t>
      </w:r>
      <w:r>
        <w:rPr>
          <w:rFonts w:cs="Times New Roman"/>
        </w:rPr>
        <w:fldChar w:fldCharType="end"/>
      </w:r>
      <w:r>
        <w:rPr>
          <w:rFonts w:cs="Times New Roman"/>
        </w:rPr>
        <w:t>.</w:t>
      </w:r>
      <w:r>
        <w:rPr>
          <w:rFonts w:cs="Times New Roman"/>
          <w:lang w:val="en-GB"/>
        </w:rPr>
        <w:t xml:space="preserve"> RAMRIS was not developed to score MTP-joints, however others have previously adapted the RAMRIS to score MTP-joints as well</w:t>
      </w:r>
      <w:r>
        <w:rPr>
          <w:rFonts w:cs="Times New Roman"/>
        </w:rPr>
        <w:fldChar w:fldCharType="begin">
          <w:fldData xml:space="preserve">PEVuZE5vdGU+PENpdGU+PEF1dGhvcj5IYWF2YXJkc2hvbG08L0F1dGhvcj48WWVhcj4yMDA3PC9Z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</w:fldData>
        </w:fldChar>
      </w:r>
      <w:r>
        <w:rPr>
          <w:rFonts w:cs="Times New Roman"/>
        </w:rPr>
        <w:instrText xml:space="preserve"> ADDIN EN.CITE </w:instrText>
      </w:r>
      <w:r>
        <w:rPr>
          <w:rFonts w:cs="Times New Roman"/>
        </w:rPr>
        <w:fldChar w:fldCharType="begin">
          <w:fldData xml:space="preserve">PEVuZE5vdGU+PENpdGU+PEF1dGhvcj5IYWF2YXJkc2hvbG08L0F1dGhvcj48WWVhcj4yMDA3PC9Z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[8]</w:t>
      </w:r>
      <w:r>
        <w:rPr>
          <w:rFonts w:cs="Times New Roman"/>
        </w:rPr>
        <w:fldChar w:fldCharType="end"/>
      </w:r>
      <w:r>
        <w:rPr>
          <w:rFonts w:cs="Times New Roman"/>
          <w:lang w:val="en-GB"/>
        </w:rPr>
        <w:t xml:space="preserve">. </w:t>
      </w:r>
      <w:r>
        <w:rPr>
          <w:rFonts w:cs="Times New Roman"/>
        </w:rPr>
        <w:t>Tenosynovitis was scored according to the method described by Haavardsholm (also applied at the flexor and extensor tendons at the 2-5</w:t>
      </w:r>
      <w:r>
        <w:rPr>
          <w:rFonts w:cs="Times New Roman"/>
          <w:vertAlign w:val="superscript"/>
        </w:rPr>
        <w:t xml:space="preserve"> </w:t>
      </w:r>
      <w:r>
        <w:rPr>
          <w:rFonts w:cs="Times New Roman"/>
        </w:rPr>
        <w:t>MCP-joints; range 0-3). The synovitis score (range 0-3) was scored based on the volume of enhancing tissue in the synovial compartment (none, mild, moderate, severe) and the tenosynovitis-score (ranged 0-3) was based on the thickness of peritendinous effusion or synovial proliferation with contrast enhancement (normal, &lt;2mm, 2-5mm, &gt;5mm)</w:t>
      </w:r>
      <w:r>
        <w:rPr>
          <w:rFonts w:cs="Times New Roman"/>
        </w:rPr>
        <w:fldChar w:fldCharType="begin"/>
      </w:r>
      <w:r>
        <w:rPr>
          <w:rFonts w:cs="Times New Roman"/>
        </w:rPr>
        <w:instrText xml:space="preserve"> ADDIN ZOTERO_ITEM CSL_CITATION {"citationID":"RCdGJi1w","properties":{"formattedCitation":"[4,5]","plainCitation":"[4,5]"},"citationItems":[{"id":1235,"uris":["http://zotero.org/users/1510694/items/X9J7E9DS"],"uri":["http://zotero.org/users/1510694/items/X9J7E9DS"],"itemData":{"id":1235,"type":"article-journal","title":"Introduction of a novel magnetic resonance imaging tenosynovitis score for rheumatoid arthritis: reliability in a multireader longitudinal study","container-title":"Annals of the Rheumatic Diseases","page":"1216-1220","volume":"66","issue":"9","source":"CrossRef","DOI":"10.1136/ard.2006.068361","ISSN":"0003-4967","shortTitle":"Introduction of a novel magnetic resonance imaging tenosynovitis score for rheumatoid arthritis","journalAbbreviation":"Ann. Rheum. Dis.","author":[{"family":"Haavardsholm","given":"E. A"},{"family":"Ostergaard","given":"M."},{"family":"Ejbjerg","given":"B. J"},{"family":"Kvan","given":"N. P"},{"family":"Kvien","given":"T. K"}],"issued":{"date-parts":[["2007",3,15]]}}},{"id":1224,"uris":["http://zotero.org/users/1510694/items/V5GBRZI4"],"uri":["http://zotero.org/users/1510694/items/V5GBRZI4"],"itemData":{"id":1224,"type":"article-journal","title":"OMERACT Rheumatoid Arthritis Magnetic Resonance Imaging Studies. Core set of MRI acquisitions, joint pathology definitions, and the OMERACT RA-MRI scoring system","container-title":"The Journal of rheumatology","page":"1385-1386","volume":"30","issue":"6","source":"NCBI PubMed","abstract":"This article describes the 2002 OMERACT rheumatoid arthritis magnetic resonance image scoring system (RAMRIS) for evaluation of inflammatory and destructive changes in RA hands and wrists, which was developed by an international MRI-OMERACT group. MRI definitions of important RA joint pathologies, and a \"core set\" of basic MRI sequences for use in RA are also suggested.","ISSN":"0315-162X","note":"PMID: 12784422","journalAbbreviation":"J. Rheumatol.","language":"eng","author":[{"family":"Østergaard","given":"Mikkel"},{"family":"Peterfy","given":"Charles"},{"family":"Conaghan","given":"Philip"},{"family":"McQueen","given":"Fiona"},{"family":"Bird","given":"Paul"},{"family":"Ejbjerg","given":"Bo"},{"family":"Shnier","given":"Ron"},{"family":"O'Connor","given":"Philip"},{"family":"Klarlund","given":"Mette"},{"family":"Emery","given":"Paul"},{"family":"Genant","given":"Harry"},{"family":"Lassere","given":"Marissa"},{"family":"Edmonds","given":"John"}],"issued":{"date-parts":[["2003",6]]},"PMID":"12784422"}}],"schema":"https://github.com/citation-style-language/schema/raw/master/csl-citation.json"} </w:instrText>
      </w:r>
      <w:r>
        <w:rPr>
          <w:rFonts w:cs="Times New Roman"/>
        </w:rPr>
        <w:fldChar w:fldCharType="separate"/>
      </w:r>
      <w:r>
        <w:rPr>
          <w:rFonts w:cs="Times New Roman"/>
        </w:rPr>
        <w:t>[4,5]</w:t>
      </w:r>
      <w:r>
        <w:rPr>
          <w:rFonts w:cs="Times New Roman"/>
        </w:rPr>
        <w:fldChar w:fldCharType="end"/>
      </w:r>
      <w:r>
        <w:rPr>
          <w:rFonts w:cs="Times New Roman"/>
        </w:rPr>
        <w:t xml:space="preserve">. </w:t>
      </w:r>
    </w:p>
    <w:p>
      <w:pPr>
        <w:spacing w:line="480" w:lineRule="auto"/>
        <w:rPr>
          <w:rFonts w:cs="Times New Roman"/>
        </w:rPr>
      </w:pPr>
      <w:r>
        <w:rPr>
          <w:rFonts w:ascii="Times New Roman" w:hAnsi="Times New Roman"/>
          <w:sz w:val="24"/>
          <w:szCs w:val="24"/>
        </w:rPr>
        <w:t xml:space="preserve">Mean scores of two readers were calculated </w:t>
      </w:r>
      <w:r>
        <w:rPr>
          <w:rFonts w:ascii="Times New Roman" w:hAnsi="Times New Roman" w:cs="Times New Roman"/>
          <w:sz w:val="24"/>
          <w:szCs w:val="24"/>
        </w:rPr>
        <w:t>and rounded down to whole points and lesions were considered absent in case it was scored by only one reader. Thus, in case of a mean score of ≥1 MRI was considered positive for MRI-detected synovitis or tenosynovitis.</w:t>
      </w:r>
      <w:r>
        <w:rPr>
          <w:rFonts w:cs="Times New Roman"/>
        </w:rPr>
        <w:t xml:space="preserve"> </w:t>
      </w:r>
    </w:p>
    <w:p>
      <w:pPr>
        <w:spacing w:after="0" w:line="480" w:lineRule="auto"/>
        <w:jc w:val="both"/>
        <w:rPr>
          <w:rFonts w:ascii="Times New Roman" w:hAnsi="Times New Roman" w:cs="Times New Roman"/>
          <w:b/>
          <w:i/>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i/>
          <w:sz w:val="24"/>
          <w:szCs w:val="24"/>
        </w:rPr>
        <w:t>MR readers</w:t>
      </w:r>
    </w:p>
    <w:p>
      <w:pPr>
        <w:pStyle w:val="Head3Wouter"/>
        <w:spacing w:after="240" w:line="480" w:lineRule="auto"/>
        <w:rPr>
          <w:rFonts w:cs="Times New Roman"/>
        </w:rPr>
      </w:pPr>
      <w:r>
        <w:rPr>
          <w:rFonts w:cs="Times New Roman"/>
          <w:b w:val="0"/>
          <w:lang w:val="en-GB"/>
        </w:rPr>
        <w:t xml:space="preserve">Scoring was performed by independent and trained readers, blinded to clinical data. The between-reader intraclass correlation coefficients (ICC) of all scans were for MRI-detected synovitis scores 0.94, for tenosynovitis 0.97. </w:t>
      </w:r>
    </w:p>
    <w:p>
      <w:pPr>
        <w:spacing w:line="480" w:lineRule="auto"/>
        <w:rPr>
          <w:rFonts w:ascii="Times New Roman" w:hAnsi="Times New Roman" w:cs="Times New Roman"/>
          <w:b/>
          <w:sz w:val="24"/>
          <w:szCs w:val="24"/>
        </w:rPr>
      </w:pPr>
    </w:p>
    <w:p>
      <w:pPr>
        <w:spacing w:line="480" w:lineRule="auto"/>
        <w:rPr>
          <w:rFonts w:ascii="Times New Roman" w:hAnsi="Times New Roman"/>
          <w:b/>
          <w:i/>
          <w:sz w:val="24"/>
          <w:szCs w:val="24"/>
        </w:rPr>
      </w:pPr>
      <w:r>
        <w:rPr>
          <w:rFonts w:ascii="Times New Roman" w:hAnsi="Times New Roman"/>
          <w:b/>
          <w:i/>
          <w:sz w:val="24"/>
          <w:szCs w:val="24"/>
        </w:rPr>
        <w:t>Musculoskeletal ultrasound scanning and scoring</w:t>
      </w:r>
    </w:p>
    <w:p>
      <w:pPr>
        <w:spacing w:line="480" w:lineRule="auto"/>
        <w:rPr>
          <w:rFonts w:ascii="Times New Roman" w:hAnsi="Times New Roman"/>
          <w:sz w:val="24"/>
          <w:szCs w:val="24"/>
        </w:rPr>
      </w:pPr>
      <w:r>
        <w:rPr>
          <w:rFonts w:ascii="Times New Roman" w:hAnsi="Times New Roman"/>
          <w:sz w:val="24"/>
          <w:szCs w:val="24"/>
        </w:rPr>
        <w:t xml:space="preserve">A high-end US machine was used (GE Logiq E9, Genova, Italy) with a linear array transducer of 6-15MHz. PD was assessed with a pulse repetition frequency of 0.8kHz and gain was set to a level until background signal was removed. The presence of synovitis was assessed on a semi-quantitative scale (0-3) for GS/PD according to Szkudlarek </w:t>
      </w:r>
      <w:r>
        <w:rPr>
          <w:rFonts w:ascii="Times New Roman" w:hAnsi="Times New Roman"/>
          <w:i/>
          <w:sz w:val="24"/>
          <w:szCs w:val="24"/>
        </w:rPr>
        <w:t>et al.</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&lt;EndNote&gt;&lt;Cite&gt;&lt;Author&gt;Szkudlarek&lt;/Author&gt;&lt;Year&gt;2003&lt;/Year&gt;&lt;RecNum&gt;30&lt;/RecNum&gt;&lt;DisplayText&gt;&lt;style font="Times New Roman" size="12"&gt;[1]&lt;/style&gt;&lt;/DisplayText&gt;&lt;record&gt;&lt;rec-number&gt;30&lt;/rec-number&gt;&lt;foreign-keys&gt;&lt;key app="EN" db-id="xr2tfstsnew9zreadeuvp55jat9vztwx2pfx" timestamp="1530689623"&gt;30&lt;/key&gt;&lt;/foreign-keys&gt;&lt;ref-type name="Journal Article"&gt;17&lt;/ref-type&gt;&lt;contributors&gt;&lt;authors&gt;&lt;author&gt;Szkudlarek, M.&lt;/author&gt;&lt;author&gt;Court-Payen, M.&lt;/author&gt;&lt;author&gt;Jacobsen, S.&lt;/author&gt;&lt;author&gt;Klarlund, M.&lt;/author&gt;&lt;author&gt;Thomsen, H. S.&lt;/author&gt;&lt;author&gt;Ostergaard, M.&lt;/author&gt;&lt;/authors&gt;&lt;/contributors&gt;&lt;auth-address&gt;University of Copenhagen Hvidovre Hospital, Denmark. marcin@dadlnet.dk&lt;/auth-address&gt;&lt;titles&gt;&lt;title&gt;Interobserver agreement in ultrasonography of the finger and toe joints in rheumatoid arthritis&lt;/title&gt;&lt;secondary-title&gt;Arthritis Rheum&lt;/secondary-title&gt;&lt;/titles&gt;&lt;periodical&gt;&lt;full-title&gt;Arthritis Rheum&lt;/full-title&gt;&lt;/periodical&gt;&lt;pages&gt;955-62&lt;/pages&gt;&lt;volume&gt;48&lt;/volume&gt;&lt;number&gt;4&lt;/number&gt;&lt;keywords&gt;&lt;keyword&gt;Adult&lt;/keyword&gt;&lt;keyword&gt;Aged&lt;/keyword&gt;&lt;keyword&gt;Arthritis, Rheumatoid/*diagnostic imaging&lt;/keyword&gt;&lt;keyword&gt;Female&lt;/keyword&gt;&lt;keyword&gt;Finger Joint/*diagnostic imaging&lt;/keyword&gt;&lt;keyword&gt;Humans&lt;/keyword&gt;&lt;keyword&gt;Male&lt;/keyword&gt;&lt;keyword&gt;Middle Aged&lt;/keyword&gt;&lt;keyword&gt;Observer Variation&lt;/keyword&gt;&lt;keyword&gt;Radiology/methods&lt;/keyword&gt;&lt;keyword&gt;Reproducibility of Results&lt;/keyword&gt;&lt;keyword&gt;Rheumatology/methods&lt;/keyword&gt;&lt;keyword&gt;Severity of Illness Index&lt;/keyword&gt;&lt;keyword&gt;Toe Joint/*diagnostic imaging&lt;/keyword&gt;&lt;keyword&gt;Ultrasonography, Doppler/*methods&lt;/keyword&gt;&lt;/keywords&gt;&lt;dates&gt;&lt;year&gt;2003&lt;/year&gt;&lt;pub-dates&gt;&lt;date&gt;Apr&lt;/date&gt;&lt;/pub-dates&gt;&lt;/dates&gt;&lt;isbn&gt;0004-3591 (Print)&amp;#xD;0004-3591 (Linking)&lt;/isbn&gt;&lt;accession-num&gt;12687537&lt;/accession-num&gt;&lt;urls&gt;&lt;related-urls&gt;&lt;url&gt;http://www.ncbi.nlm.nih.gov/pubmed/12687537&lt;/url&gt;&lt;/related-urls&gt;&lt;/urls&gt;&lt;electronic-resource-num&gt;10.1002/art.10877&lt;/electronic-resource-num&gt;&lt;/record&gt;&lt;/Cite&gt;&lt;/EndNote&gt;</w:instrText>
      </w:r>
      <w:r>
        <w:rPr>
          <w:rFonts w:ascii="Times New Roman" w:hAnsi="Times New Roman"/>
          <w:sz w:val="24"/>
          <w:szCs w:val="24"/>
        </w:rPr>
        <w:fldChar w:fldCharType="separate"/>
      </w:r>
      <w:r>
        <w:rPr>
          <w:rFonts w:ascii="Times New Roman" w:hAnsi="Times New Roman" w:cs="Times New Roman"/>
          <w:noProof/>
          <w:sz w:val="24"/>
          <w:szCs w:val="24"/>
        </w:rPr>
        <w:t>[1]</w:t>
      </w:r>
      <w:r>
        <w:rPr>
          <w:rFonts w:ascii="Times New Roman" w:hAnsi="Times New Roman"/>
          <w:sz w:val="24"/>
          <w:szCs w:val="24"/>
        </w:rPr>
        <w:fldChar w:fldCharType="end"/>
      </w:r>
      <w:r>
        <w:rPr>
          <w:rFonts w:ascii="Times New Roman" w:hAnsi="Times New Roman"/>
          <w:sz w:val="24"/>
          <w:szCs w:val="24"/>
        </w:rPr>
        <w:t>, and synovial effusion and hypertrophy were combined (called ‘modified Szkudlarek-method’)</w:t>
      </w:r>
      <w:r>
        <w:rPr>
          <w:rFonts w:ascii="Times New Roman" w:hAnsi="Times New Roman"/>
          <w:sz w:val="24"/>
          <w:szCs w:val="24"/>
        </w:rPr>
        <w:fldChar w:fldCharType="begin">
          <w:fldData xml:space="preserve">PEVuZE5vdGU+PENpdGU+PEF1dGhvcj5TY2hlZWw8L0F1dGhvcj48WWVhcj4yMDA1PC9ZZWFyPjxS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PEVuZE5vdGU+PENpdGU+PEF1dGhvcj5TY2hlZWw8L0F1dGhvcj48WWVhcj4yMDA1PC9ZZWFyPjxS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cs="Times New Roman"/>
          <w:noProof/>
          <w:sz w:val="24"/>
          <w:szCs w:val="24"/>
        </w:rPr>
        <w:t>[2]</w:t>
      </w:r>
      <w:r>
        <w:rPr>
          <w:rFonts w:ascii="Times New Roman" w:hAnsi="Times New Roman"/>
          <w:sz w:val="24"/>
          <w:szCs w:val="24"/>
        </w:rPr>
        <w:fldChar w:fldCharType="end"/>
      </w:r>
      <w:r>
        <w:rPr>
          <w:rFonts w:ascii="Times New Roman" w:hAnsi="Times New Roman"/>
          <w:sz w:val="24"/>
          <w:szCs w:val="24"/>
        </w:rPr>
        <w:t>.</w:t>
      </w:r>
    </w:p>
    <w:p>
      <w:pPr>
        <w:spacing w:line="480" w:lineRule="auto"/>
        <w:rPr>
          <w:rFonts w:ascii="Times New Roman" w:hAnsi="Times New Roman"/>
          <w:sz w:val="24"/>
          <w:szCs w:val="24"/>
        </w:rPr>
      </w:pPr>
      <w:r>
        <w:rPr>
          <w:rFonts w:ascii="Times New Roman" w:hAnsi="Times New Roman"/>
          <w:sz w:val="24"/>
          <w:szCs w:val="24"/>
        </w:rPr>
        <w:lastRenderedPageBreak/>
        <w:t>Tenosynovitis was examined on a semi-quantitative scale for GS/PD according to the OMERACT</w:t>
      </w:r>
      <w:r>
        <w:rPr>
          <w:rFonts w:ascii="Times New Roman" w:hAnsi="Times New Roman"/>
          <w:sz w:val="24"/>
          <w:szCs w:val="24"/>
        </w:rPr>
        <w:fldChar w:fldCharType="begin">
          <w:fldData xml:space="preserve">PEVuZE5vdGU+PENpdGU+PEF1dGhvcj5OYXJlZG88L0F1dGhvcj48WWVhcj4yMDEzPC9ZZWFyPjxS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</w:fldData>
        </w:fldChar>
      </w:r>
      <w:r>
        <w:rPr>
          <w:rFonts w:ascii="Times New Roman" w:hAnsi="Times New Roman"/>
          <w:sz w:val="24"/>
          <w:szCs w:val="24"/>
        </w:rPr>
        <w:instrText xml:space="preserve"> ADDIN EN.CITE </w:instrText>
      </w:r>
      <w:r>
        <w:rPr>
          <w:rFonts w:ascii="Times New Roman" w:hAnsi="Times New Roman"/>
          <w:sz w:val="24"/>
          <w:szCs w:val="24"/>
        </w:rPr>
        <w:fldChar w:fldCharType="begin">
          <w:fldData xml:space="preserve">PEVuZE5vdGU+PENpdGU+PEF1dGhvcj5OYXJlZG88L0F1dGhvcj48WWVhcj4yMDEzPC9ZZWFyPjxS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</w:fldData>
        </w:fldChar>
      </w:r>
      <w:r>
        <w:rPr>
          <w:rFonts w:ascii="Times New Roman" w:hAnsi="Times New Roman"/>
          <w:sz w:val="24"/>
          <w:szCs w:val="24"/>
        </w:rPr>
        <w:instrText xml:space="preserve"> ADDIN EN.CITE.DATA </w:instrText>
      </w:r>
      <w:r>
        <w:rPr>
          <w:rFonts w:ascii="Times New Roman" w:hAnsi="Times New Roman"/>
          <w:sz w:val="24"/>
          <w:szCs w:val="24"/>
        </w:rPr>
      </w:r>
      <w:r>
        <w:rPr>
          <w:rFonts w:ascii="Times New Roman" w:hAnsi="Times New Roman"/>
          <w:sz w:val="24"/>
          <w:szCs w:val="24"/>
        </w:rPr>
        <w:fldChar w:fldCharType="end"/>
      </w:r>
      <w:r>
        <w:rPr>
          <w:rFonts w:ascii="Times New Roman" w:hAnsi="Times New Roman"/>
          <w:sz w:val="24"/>
          <w:szCs w:val="24"/>
        </w:rPr>
      </w:r>
      <w:r>
        <w:rPr>
          <w:rFonts w:ascii="Times New Roman" w:hAnsi="Times New Roman"/>
          <w:sz w:val="24"/>
          <w:szCs w:val="24"/>
        </w:rPr>
        <w:fldChar w:fldCharType="separate"/>
      </w:r>
      <w:r>
        <w:rPr>
          <w:rFonts w:ascii="Times New Roman" w:hAnsi="Times New Roman" w:cs="Times New Roman"/>
          <w:noProof/>
          <w:sz w:val="24"/>
          <w:szCs w:val="24"/>
        </w:rPr>
        <w:t>[9]</w:t>
      </w:r>
      <w:r>
        <w:rPr>
          <w:rFonts w:ascii="Times New Roman" w:hAnsi="Times New Roman"/>
          <w:sz w:val="24"/>
          <w:szCs w:val="24"/>
        </w:rPr>
        <w:fldChar w:fldCharType="end"/>
      </w:r>
      <w:r>
        <w:rPr>
          <w:rFonts w:ascii="Times New Roman" w:hAnsi="Times New Roman"/>
          <w:sz w:val="24"/>
          <w:szCs w:val="24"/>
        </w:rPr>
        <w:t xml:space="preserve">. We examined the following tendons: </w:t>
      </w:r>
      <w:bookmarkStart w:id="5" w:name="_Hlk518910395"/>
      <w:r>
        <w:rPr>
          <w:rFonts w:ascii="Times New Roman" w:hAnsi="Times New Roman"/>
          <w:sz w:val="24"/>
          <w:szCs w:val="24"/>
        </w:rPr>
        <w:t>extensor carpi radialis longus et brevis (ECR), extensor digitorum communis/indices proprius (EDC/IP), extensor carpi ulnaris (ECU), flexor carpi radialis (FCR), flexor pollicis longus (FPL), flexor digitorum superficialis and profundus (FDS/FDP), and flexor digitorum (FD) 2-5 on MCP-level</w:t>
      </w:r>
      <w:bookmarkEnd w:id="5"/>
      <w:r>
        <w:rPr>
          <w:rFonts w:ascii="Times New Roman" w:hAnsi="Times New Roman"/>
          <w:sz w:val="24"/>
          <w:szCs w:val="24"/>
        </w:rPr>
        <w:t>. All US-scores per joint (synovitis) and tendon (tenosynovitis) ranged from 0-3.</w:t>
      </w:r>
    </w:p>
    <w:p>
      <w:pPr>
        <w:spacing w:line="480" w:lineRule="auto"/>
        <w:rPr>
          <w:rFonts w:ascii="Times New Roman" w:hAnsi="Times New Roman" w:cs="Times New Roman"/>
          <w:sz w:val="24"/>
          <w:szCs w:val="24"/>
        </w:rPr>
      </w:pPr>
      <w:r>
        <w:rPr>
          <w:rFonts w:ascii="Times New Roman" w:hAnsi="Times New Roman"/>
          <w:sz w:val="24"/>
          <w:szCs w:val="24"/>
        </w:rPr>
        <w:t>The static images of US were re-scored for GS synovitis (according to the EULAR-OMERACT-scoring method) by two examiners (SO and RvdB, with an ICC 0.92).</w:t>
      </w:r>
      <w:r>
        <w:rPr>
          <w:rFonts w:ascii="Times New Roman" w:hAnsi="Times New Roman"/>
          <w:sz w:val="24"/>
          <w:szCs w:val="24"/>
        </w:rPr>
        <w:fldChar w:fldCharType="begin"/>
      </w:r>
      <w:r>
        <w:rPr>
          <w:rFonts w:ascii="Times New Roman" w:hAnsi="Times New Roman"/>
          <w:sz w:val="24"/>
          <w:szCs w:val="24"/>
        </w:rPr>
        <w:instrText xml:space="preserve"> ADDIN EN.CITE &lt;EndNote&gt;&lt;Cite&gt;&lt;Author&gt;D’Agostino&lt;/Author&gt;&lt;Year&gt;2017&lt;/Year&gt;&lt;RecNum&gt;44&lt;/RecNum&gt;&lt;DisplayText&gt;&lt;style font="Times New Roman" size="12"&gt;[3]&lt;/style&gt;&lt;/DisplayText&gt;&lt;record&gt;&lt;rec-number&gt;44&lt;/rec-number&gt;&lt;foreign-keys&gt;&lt;key app="EN" db-id="xr2tfstsnew9zreadeuvp55jat9vztwx2pfx" timestamp="1530706869"&gt;44&lt;/key&gt;&lt;/foreign-keys&gt;&lt;ref-type name="Journal Article"&gt;17&lt;/ref-type&gt;&lt;contributors&gt;&lt;authors&gt;&lt;author&gt;D’Agostino, Maria-Antonietta&lt;/author&gt;&lt;author&gt;Terslev, Lene&lt;/author&gt;&lt;author&gt;Aegerter, Philippe&lt;/author&gt;&lt;author&gt;Backhaus, Marina&lt;/author&gt;&lt;author&gt;Balint, Peter&lt;/author&gt;&lt;author&gt;Bruyn, George A.&lt;/author&gt;&lt;author&gt;Filippucci, Emilio&lt;/author&gt;&lt;author&gt;Grassi, Walter&lt;/author&gt;&lt;author&gt;Iagnocco, Annamaria&lt;/author&gt;&lt;author&gt;Jousse-Joulin, Sandrine&lt;/author&gt;&lt;author&gt;Kane, David&lt;/author&gt;&lt;author&gt;Naredo, Esperanza&lt;/author&gt;&lt;author&gt;Schmidt, Wolfgang&lt;/author&gt;&lt;author&gt;Szkudlarek, Marcin&lt;/author&gt;&lt;author&gt;Conaghan, Philip G.&lt;/author&gt;&lt;author&gt;Wakefield, Richard J.&lt;/author&gt;&lt;/authors&gt;&lt;/contributors&gt;&lt;titles&gt;&lt;title&gt;Scoring ultrasound synovitis in rheumatoid arthritis: a EULAR-OMERACT ultrasound taskforce - Part 1: definition and development of a standardised, consensus-based scoring system&lt;/title&gt;&lt;secondary-title&gt;RMD Open&lt;/secondary-title&gt;&lt;/titles&gt;&lt;periodical&gt;&lt;full-title&gt;RMD Open&lt;/full-title&gt;&lt;/periodical&gt;&lt;volume&gt;3&lt;/volume&gt;&lt;number&gt;1&lt;/number&gt;&lt;dates&gt;&lt;year&gt;2017&lt;/year&gt;&lt;/dates&gt;&lt;work-type&gt;10.1136/rmdopen-2016-000428&lt;/work-type&gt;&lt;urls&gt;&lt;related-urls&gt;&lt;url&gt;&lt;style face="underline" font="default" size="100%"&gt;http://rmdopen.bmj.com/content/3/1/e000428.abstract&lt;/style&gt;&lt;/url&gt;&lt;/related-urls&gt;&lt;/urls&gt;&lt;/record&gt;&lt;/Cite&gt;&lt;/EndNote&gt;</w:instrText>
      </w:r>
      <w:r>
        <w:rPr>
          <w:rFonts w:ascii="Times New Roman" w:hAnsi="Times New Roman"/>
          <w:sz w:val="24"/>
          <w:szCs w:val="24"/>
        </w:rPr>
        <w:fldChar w:fldCharType="separate"/>
      </w:r>
      <w:r>
        <w:rPr>
          <w:rFonts w:ascii="Times New Roman" w:hAnsi="Times New Roman" w:cs="Times New Roman"/>
          <w:noProof/>
          <w:sz w:val="24"/>
          <w:szCs w:val="24"/>
        </w:rPr>
        <w:t>[3]</w:t>
      </w:r>
      <w:r>
        <w:rPr>
          <w:rFonts w:ascii="Times New Roman" w:hAnsi="Times New Roman"/>
          <w:sz w:val="24"/>
          <w:szCs w:val="24"/>
        </w:rPr>
        <w:fldChar w:fldCharType="end"/>
      </w:r>
      <w:r>
        <w:rPr>
          <w:rFonts w:ascii="Times New Roman" w:hAnsi="Times New Roman"/>
          <w:sz w:val="24"/>
          <w:szCs w:val="24"/>
        </w:rPr>
        <w:t xml:space="preserve"> The mean scores of two readers were calculated </w:t>
      </w:r>
      <w:r>
        <w:rPr>
          <w:rFonts w:ascii="Times New Roman" w:hAnsi="Times New Roman" w:cs="Times New Roman"/>
          <w:sz w:val="24"/>
          <w:szCs w:val="24"/>
        </w:rPr>
        <w:t xml:space="preserve">and rounded down to whole points and lesions were considered absent in case it was scored by only one reader. Thus, in case of a mean score of ≥1 US was considered positive for US-detected GS-synovitis. </w:t>
      </w:r>
    </w:p>
    <w:p>
      <w:pPr>
        <w:spacing w:line="480" w:lineRule="auto"/>
        <w:rPr>
          <w:rFonts w:ascii="Times New Roman" w:hAnsi="Times New Roman" w:cs="Times New Roman"/>
          <w:sz w:val="24"/>
          <w:szCs w:val="24"/>
        </w:rPr>
      </w:pPr>
    </w:p>
    <w:p>
      <w:pPr>
        <w:spacing w:after="0" w:line="480" w:lineRule="auto"/>
        <w:jc w:val="both"/>
        <w:rPr>
          <w:rFonts w:ascii="Times New Roman" w:hAnsi="Times New Roman" w:cs="Times New Roman"/>
          <w:sz w:val="24"/>
          <w:szCs w:val="24"/>
        </w:rPr>
      </w:pPr>
      <w:r>
        <w:rPr>
          <w:rFonts w:ascii="Times New Roman" w:hAnsi="Times New Roman" w:cs="Times New Roman"/>
          <w:b/>
          <w:i/>
          <w:sz w:val="24"/>
          <w:szCs w:val="24"/>
        </w:rPr>
        <w:t>US readers</w:t>
      </w:r>
    </w:p>
    <w:p>
      <w:pPr>
        <w:pStyle w:val="Head3Wouter"/>
        <w:spacing w:after="240" w:line="480" w:lineRule="auto"/>
        <w:rPr>
          <w:rFonts w:cs="Times New Roman"/>
        </w:rPr>
      </w:pPr>
      <w:r>
        <w:rPr>
          <w:rFonts w:cs="Times New Roman"/>
          <w:b w:val="0"/>
          <w:lang w:val="en-GB"/>
        </w:rPr>
        <w:t xml:space="preserve">Scoring was performed by independent and trained readers (SO and RvdB), blinded to clinical data. The between-reader intraclass correlation coefficients (ICC) of GS-synovitis (EULAR-OMERACT-method) was 0.92. </w:t>
      </w:r>
    </w:p>
    <w:p>
      <w:pPr>
        <w:spacing w:line="480" w:lineRule="auto"/>
        <w:rPr>
          <w:rFonts w:cs="Times New Roman"/>
        </w:rPr>
      </w:pPr>
      <w:r>
        <w:rPr>
          <w:rFonts w:ascii="Times New Roman" w:hAnsi="Times New Roman" w:cs="Times New Roman"/>
          <w:b/>
          <w:sz w:val="24"/>
          <w:szCs w:val="24"/>
        </w:rPr>
        <w:br w:type="page"/>
      </w:r>
    </w:p>
    <w:p>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REFERENCES</w:t>
      </w:r>
    </w:p>
    <w:p>
      <w:pPr>
        <w:pStyle w:val="EndNoteBibliography"/>
        <w:spacing w:after="0"/>
      </w:pPr>
      <w:r>
        <w:rPr>
          <w:szCs w:val="24"/>
          <w:lang w:val="en-GB"/>
        </w:rPr>
        <w:fldChar w:fldCharType="begin"/>
      </w:r>
      <w:r>
        <w:rPr>
          <w:szCs w:val="24"/>
          <w:lang w:val="en-GB"/>
        </w:rPr>
        <w:instrText xml:space="preserve"> ADDIN EN.REFLIST </w:instrText>
      </w:r>
      <w:r>
        <w:rPr>
          <w:szCs w:val="24"/>
          <w:lang w:val="en-GB"/>
        </w:rPr>
        <w:fldChar w:fldCharType="separate"/>
      </w:r>
      <w:r>
        <w:t>1.</w:t>
      </w:r>
      <w:r>
        <w:tab/>
        <w:t>Szkudlarek M, Court-Payen M, Jacobsen S, Klarlund M, Thomsen HS, Ostergaard M. Interobserver agreement in ultrasonography of the finger and toe joints in rheumatoid arthritis. Arthritis Rheum. 2003 Apr; 48(4):955-962.</w:t>
      </w:r>
    </w:p>
    <w:p>
      <w:pPr>
        <w:pStyle w:val="EndNoteBibliography"/>
        <w:spacing w:after="0"/>
      </w:pPr>
      <w:r>
        <w:t>2.</w:t>
      </w:r>
      <w:r>
        <w:tab/>
        <w:t>Scheel AK, Hermann KG, Kahler E, Pasewaldt D, Fritz J, Hamm B, et al. A novel ultrasonographic synovitis scoring system suitable for analyzing finger joint inflammation in rheumatoid arthritis. Arthritis Rheum. 2005 Mar; 52(3):733-743.</w:t>
      </w:r>
    </w:p>
    <w:p>
      <w:pPr>
        <w:pStyle w:val="EndNoteBibliography"/>
        <w:spacing w:after="0"/>
      </w:pPr>
      <w:r>
        <w:t>3.</w:t>
      </w:r>
      <w:r>
        <w:tab/>
        <w:t>D’Agostino M-A, Terslev L, Aegerter P, Backhaus M, Balint P, Bruyn GA, et al. Scoring ultrasound synovitis in rheumatoid arthritis: a EULAR-OMERACT ultrasound taskforce - Part 1: definition and development of a standardised, consensus-based scoring system. RMD Open. 2017; 3(1).</w:t>
      </w:r>
    </w:p>
    <w:p>
      <w:pPr>
        <w:pStyle w:val="EndNoteBibliography"/>
        <w:spacing w:after="0"/>
      </w:pPr>
      <w:r>
        <w:t>4.</w:t>
      </w:r>
      <w:r>
        <w:tab/>
        <w:t>Nieuwenhuis WP, van Steenbergen HW, Mangnus L, Newsum EC, Bloem JL, Huizinga TWJ, et al. Evaluation of the diagnostic accuracy of hand and foot MRI for early Rheumatoid Arthritis. Rheumatology (Oxford). 2017 Aug 1; 56(8):1367-1377.</w:t>
      </w:r>
    </w:p>
    <w:p>
      <w:pPr>
        <w:pStyle w:val="EndNoteBibliography"/>
        <w:spacing w:after="0"/>
      </w:pPr>
      <w:r>
        <w:t>5.</w:t>
      </w:r>
      <w:r>
        <w:tab/>
        <w:t>van Steenbergen HW, van Nies JA, Huizinga TW, Bloem JL, Reijnierse M, van der Helm-van Mil AH. Characterising arthralgia in the preclinical phase of rheumatoid arthritis using MRI. Ann Rheum Dis. 2015 Jun; 74(6):1225-1232.</w:t>
      </w:r>
    </w:p>
    <w:p>
      <w:pPr>
        <w:pStyle w:val="EndNoteBibliography"/>
        <w:spacing w:after="0"/>
      </w:pPr>
      <w:r>
        <w:t>6.</w:t>
      </w:r>
      <w:r>
        <w:tab/>
        <w:t>Mangnus L, van Steenbergen HW, Reijnierse M, van der Helm-van Mil AH. Magnetic Resonance Imaging-Detected Features of Inflammation and Erosions in Symptom-Free Persons From the General Population. Arthritis Rheumatol. 2016 May 23.</w:t>
      </w:r>
    </w:p>
    <w:p>
      <w:pPr>
        <w:pStyle w:val="EndNoteBibliography"/>
        <w:spacing w:after="0"/>
      </w:pPr>
      <w:r>
        <w:t>7.</w:t>
      </w:r>
      <w:r>
        <w:tab/>
        <w:t>Ostergaard M, Edmonds J, McQueen F, Peterfy C, Lassere M, Ejbjerg B, et al. An introduction to the EULAR-OMERACT rheumatoid arthritis MRI reference image atlas. Ann Rheum Dis. 2005 Feb; 64 Suppl 1:i3-7.</w:t>
      </w:r>
    </w:p>
    <w:p>
      <w:pPr>
        <w:pStyle w:val="EndNoteBibliography"/>
        <w:spacing w:after="0"/>
      </w:pPr>
      <w:r>
        <w:t>8.</w:t>
      </w:r>
      <w:r>
        <w:tab/>
        <w:t>Haavardsholm EA, Ostergaard M, Ejbjerg BJ, Kvan NP, Kvien TK. Introduction of a novel magnetic resonance imaging tenosynovitis score for rheumatoid arthritis: reliability in a multireader longitudinal study. Ann Rheum Dis. 2007 Sep; 66(9):1216-1220.</w:t>
      </w:r>
    </w:p>
    <w:p>
      <w:pPr>
        <w:pStyle w:val="EndNoteBibliography"/>
      </w:pPr>
      <w:r>
        <w:t>9.</w:t>
      </w:r>
      <w:r>
        <w:tab/>
        <w:t>Naredo E, D'Agostino MA, Wakefield RJ, Moller I, Balint PV, Filippucci E, et al. Reliability of a consensus-based ultrasound score for tenosynovitis in rheumatoid arthritis. Ann Rheum Dis. 2013 Aug; 72(8):1328-1334.</w:t>
      </w:r>
    </w:p>
    <w:p>
      <w:pPr>
        <w:spacing w:after="0" w:line="240" w:lineRule="auto"/>
        <w:rPr>
          <w:rFonts w:ascii="Times New Roman" w:hAnsi="Times New Roman" w:cs="Times New Roman"/>
          <w:sz w:val="24"/>
          <w:szCs w:val="24"/>
        </w:rPr>
      </w:pPr>
      <w:r>
        <w:rPr>
          <w:rFonts w:ascii="Times New Roman" w:hAnsi="Times New Roman" w:cs="Times New Roman"/>
          <w:sz w:val="24"/>
          <w:szCs w:val="24"/>
        </w:rPr>
        <w:fldChar w:fldCharType="end"/>
      </w:r>
    </w:p>
    <w:p>
      <w:pPr>
        <w:spacing w:after="0" w:line="480" w:lineRule="auto"/>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p>
    <w:sectPr>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Skia"/>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621035"/>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1</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007A4"/>
    <w:multiLevelType w:val="hybridMultilevel"/>
    <w:tmpl w:val="CC18637E"/>
    <w:lvl w:ilvl="0" w:tplc="6A523EB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4D3A9C"/>
    <w:multiLevelType w:val="hybridMultilevel"/>
    <w:tmpl w:val="16BEC444"/>
    <w:lvl w:ilvl="0" w:tplc="0D26AC0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thritis Rheumatism&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atdff02v9dwoepf0avfta10fazx9dtd9wr&quot;&gt;My EndNote Library&lt;record-ids&gt;&lt;item&gt;4&lt;/item&gt;&lt;item&gt;8&lt;/item&gt;&lt;item&gt;9&lt;/item&gt;&lt;item&gt;194&lt;/item&gt;&lt;/record-ids&gt;&lt;/item&gt;&lt;/Libraries&gt;"/>
    <w:docVar w:name="Total_Editing_Time" w:val="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CE41EB-085C-4CE3-BD30-BDA31A7D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Wouter">
    <w:name w:val="Normal Wouter"/>
    <w:basedOn w:val="Standard"/>
    <w:link w:val="NormalWouterChar"/>
    <w:uiPriority w:val="99"/>
    <w:qFormat/>
    <w:pPr>
      <w:spacing w:line="480" w:lineRule="auto"/>
    </w:pPr>
    <w:rPr>
      <w:rFonts w:ascii="Times New Roman" w:eastAsiaTheme="minorEastAsia" w:hAnsi="Times New Roman"/>
      <w:sz w:val="24"/>
      <w:szCs w:val="24"/>
      <w:lang w:val="en-US" w:eastAsia="zh-TW"/>
    </w:rPr>
  </w:style>
  <w:style w:type="character" w:customStyle="1" w:styleId="NormalWouterChar">
    <w:name w:val="Normal Wouter Char"/>
    <w:basedOn w:val="Absatz-Standardschriftart"/>
    <w:link w:val="NormalWouter"/>
    <w:uiPriority w:val="99"/>
    <w:locked/>
    <w:rPr>
      <w:rFonts w:ascii="Times New Roman" w:eastAsiaTheme="minorEastAsia" w:hAnsi="Times New Roman"/>
      <w:sz w:val="24"/>
      <w:szCs w:val="24"/>
      <w:lang w:val="en-US" w:eastAsia="zh-TW"/>
    </w:rPr>
  </w:style>
  <w:style w:type="paragraph" w:customStyle="1" w:styleId="Head3Wouter">
    <w:name w:val="Head 3 Wouter"/>
    <w:basedOn w:val="berschrift3"/>
    <w:next w:val="NormalWouter"/>
    <w:link w:val="Head3WouterChar"/>
    <w:uiPriority w:val="99"/>
    <w:qFormat/>
    <w:rPr>
      <w:rFonts w:ascii="Times New Roman" w:eastAsia="PMingLiU" w:hAnsi="Times New Roman"/>
      <w:bCs w:val="0"/>
      <w:color w:val="000000" w:themeColor="text1"/>
      <w:sz w:val="24"/>
      <w:szCs w:val="24"/>
      <w:lang w:val="en-US" w:eastAsia="nl-NL"/>
    </w:rPr>
  </w:style>
  <w:style w:type="character" w:customStyle="1" w:styleId="Head3WouterChar">
    <w:name w:val="Head 3 Wouter Char"/>
    <w:basedOn w:val="Absatz-Standardschriftart"/>
    <w:link w:val="Head3Wouter"/>
    <w:uiPriority w:val="99"/>
    <w:locked/>
    <w:rPr>
      <w:rFonts w:ascii="Times New Roman" w:eastAsia="PMingLiU" w:hAnsi="Times New Roman" w:cstheme="majorBidi"/>
      <w:b/>
      <w:color w:val="000000" w:themeColor="text1"/>
      <w:sz w:val="24"/>
      <w:szCs w:val="24"/>
      <w:lang w:val="en-US" w:eastAsia="nl-NL"/>
    </w:rPr>
  </w:style>
  <w:style w:type="paragraph" w:customStyle="1" w:styleId="EndNoteBibliography">
    <w:name w:val="EndNote Bibliography"/>
    <w:basedOn w:val="Standard"/>
    <w:link w:val="EndNoteBibliographyChar"/>
    <w:pPr>
      <w:spacing w:line="240" w:lineRule="auto"/>
    </w:pPr>
    <w:rPr>
      <w:rFonts w:ascii="Times New Roman" w:eastAsia="Calibri" w:hAnsi="Times New Roman" w:cs="Times New Roman"/>
      <w:noProof/>
      <w:sz w:val="24"/>
      <w:lang w:val="en-US"/>
    </w:rPr>
  </w:style>
  <w:style w:type="character" w:customStyle="1" w:styleId="EndNoteBibliographyChar">
    <w:name w:val="EndNote Bibliography Char"/>
    <w:basedOn w:val="Absatz-Standardschriftart"/>
    <w:link w:val="EndNoteBibliography"/>
    <w:rPr>
      <w:rFonts w:ascii="Times New Roman" w:eastAsia="Calibri" w:hAnsi="Times New Roman" w:cs="Times New Roman"/>
      <w:noProof/>
      <w:sz w:val="24"/>
      <w:lang w:val="en-US"/>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style>
  <w:style w:type="paragraph" w:customStyle="1" w:styleId="EndNoteBibliographyTitle">
    <w:name w:val="EndNote Bibliography Title"/>
    <w:basedOn w:val="Standard"/>
    <w:link w:val="EndNoteBibliographyTitleChar"/>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Absatz-Standardschriftart"/>
    <w:link w:val="EndNoteBibliographyTitle"/>
    <w:rPr>
      <w:rFonts w:ascii="Times New Roman" w:hAnsi="Times New Roman" w:cs="Times New Roman"/>
      <w:noProof/>
      <w:sz w:val="24"/>
      <w:lang w:val="en-US"/>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tyle>
  <w:style w:type="paragraph" w:styleId="KeinLeerraum">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86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3100E-8E6A-4144-935D-470D32F9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4577</Words>
  <Characters>28841</Characters>
  <Application>Microsoft Office Word</Application>
  <DocSecurity>4</DocSecurity>
  <Lines>240</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Boer</dc:creator>
  <cp:lastModifiedBy>Ohrndorf, Sarah</cp:lastModifiedBy>
  <cp:revision>2</cp:revision>
  <cp:lastPrinted>2018-12-18T13:37:00Z</cp:lastPrinted>
  <dcterms:created xsi:type="dcterms:W3CDTF">2019-02-08T10:06:00Z</dcterms:created>
  <dcterms:modified xsi:type="dcterms:W3CDTF">2019-02-08T10:06:00Z</dcterms:modified>
</cp:coreProperties>
</file>