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446F3E" w14:textId="77777777" w:rsidR="00301EAC" w:rsidRPr="00181703" w:rsidRDefault="00343D90" w:rsidP="00343D90">
      <w:pPr>
        <w:rPr>
          <w:b/>
          <w:sz w:val="32"/>
        </w:rPr>
      </w:pPr>
      <w:r w:rsidRPr="00181703">
        <w:rPr>
          <w:b/>
          <w:sz w:val="32"/>
        </w:rPr>
        <w:t>Supplementary methods</w:t>
      </w:r>
    </w:p>
    <w:p w14:paraId="67446F3F" w14:textId="77777777" w:rsidR="00343D90" w:rsidRPr="00343D90" w:rsidRDefault="00343D90" w:rsidP="00343D90">
      <w:pPr>
        <w:rPr>
          <w:b/>
          <w:lang w:val="en-GB"/>
        </w:rPr>
      </w:pPr>
      <w:r w:rsidRPr="00343D90">
        <w:rPr>
          <w:b/>
          <w:lang w:val="en-GB"/>
        </w:rPr>
        <w:t xml:space="preserve">MicroRNAs expression </w:t>
      </w:r>
      <w:r w:rsidRPr="00343D90">
        <w:rPr>
          <w:b/>
        </w:rPr>
        <w:t xml:space="preserve">by real time qPCR. </w:t>
      </w:r>
    </w:p>
    <w:p w14:paraId="67446F41" w14:textId="10E09F0F" w:rsidR="00343D90" w:rsidRPr="00181703" w:rsidRDefault="00343D90" w:rsidP="00181703">
      <w:pPr>
        <w:spacing w:line="360" w:lineRule="auto"/>
        <w:jc w:val="both"/>
        <w:rPr>
          <w:rFonts w:cs="Times New Roman"/>
          <w:strike/>
        </w:rPr>
      </w:pPr>
      <w:r w:rsidRPr="00343D90">
        <w:t xml:space="preserve">cDNA was diluted one hundred times and mixed with the </w:t>
      </w:r>
      <w:proofErr w:type="spellStart"/>
      <w:r w:rsidRPr="00343D90">
        <w:t>ExiLENT</w:t>
      </w:r>
      <w:proofErr w:type="spellEnd"/>
      <w:r w:rsidRPr="00343D90">
        <w:t xml:space="preserve"> </w:t>
      </w:r>
      <w:proofErr w:type="spellStart"/>
      <w:r w:rsidRPr="00343D90">
        <w:t>SYBR</w:t>
      </w:r>
      <w:proofErr w:type="spellEnd"/>
      <w:r w:rsidRPr="00343D90">
        <w:rPr>
          <w:vertAlign w:val="superscript"/>
        </w:rPr>
        <w:t>®</w:t>
      </w:r>
      <w:r w:rsidRPr="00343D90">
        <w:t xml:space="preserve"> Green master mix (</w:t>
      </w:r>
      <w:proofErr w:type="spellStart"/>
      <w:r w:rsidRPr="00343D90">
        <w:t>Exiqon</w:t>
      </w:r>
      <w:proofErr w:type="spellEnd"/>
      <w:r w:rsidRPr="00343D90">
        <w:t xml:space="preserve">) and distributed into 384-well </w:t>
      </w:r>
      <w:proofErr w:type="spellStart"/>
      <w:r w:rsidRPr="00343D90">
        <w:rPr>
          <w:lang w:val="en-GB"/>
        </w:rPr>
        <w:t>Exiqon</w:t>
      </w:r>
      <w:proofErr w:type="spellEnd"/>
      <w:r w:rsidRPr="00343D90">
        <w:rPr>
          <w:lang w:val="en-GB"/>
        </w:rPr>
        <w:t xml:space="preserve"> </w:t>
      </w:r>
      <w:r w:rsidR="00D328C3">
        <w:t xml:space="preserve">Human </w:t>
      </w:r>
      <w:proofErr w:type="spellStart"/>
      <w:r w:rsidR="00D328C3">
        <w:t>miRNome</w:t>
      </w:r>
      <w:proofErr w:type="spellEnd"/>
      <w:r w:rsidR="00D328C3">
        <w:t xml:space="preserve"> panel I (Version 4</w:t>
      </w:r>
      <w:r w:rsidRPr="00343D90">
        <w:t>)</w:t>
      </w:r>
      <w:r w:rsidR="004F7B8F">
        <w:t xml:space="preserve"> plates</w:t>
      </w:r>
      <w:r w:rsidRPr="00343D90">
        <w:t xml:space="preserve"> </w:t>
      </w:r>
      <w:r w:rsidR="004F7B8F" w:rsidRPr="00343D90">
        <w:t xml:space="preserve">using a </w:t>
      </w:r>
      <w:proofErr w:type="spellStart"/>
      <w:r w:rsidR="004F7B8F" w:rsidRPr="00343D90">
        <w:rPr>
          <w:rStyle w:val="st"/>
          <w:rFonts w:asciiTheme="minorHAnsi" w:hAnsiTheme="minorHAnsi"/>
        </w:rPr>
        <w:t>TECAN</w:t>
      </w:r>
      <w:proofErr w:type="spellEnd"/>
      <w:r w:rsidR="004F7B8F" w:rsidRPr="00343D90">
        <w:rPr>
          <w:rStyle w:val="st"/>
          <w:rFonts w:asciiTheme="minorHAnsi" w:hAnsiTheme="minorHAnsi"/>
        </w:rPr>
        <w:t xml:space="preserve"> Freedom </w:t>
      </w:r>
      <w:proofErr w:type="spellStart"/>
      <w:r w:rsidR="004F7B8F" w:rsidRPr="00343D90">
        <w:rPr>
          <w:rStyle w:val="Emphasis"/>
          <w:rFonts w:asciiTheme="minorHAnsi" w:hAnsiTheme="minorHAnsi"/>
        </w:rPr>
        <w:t>EVO</w:t>
      </w:r>
      <w:proofErr w:type="spellEnd"/>
      <w:r w:rsidR="004F7B8F" w:rsidRPr="00343D90">
        <w:rPr>
          <w:rStyle w:val="st"/>
          <w:rFonts w:asciiTheme="minorHAnsi" w:hAnsiTheme="minorHAnsi"/>
          <w:vertAlign w:val="superscript"/>
        </w:rPr>
        <w:t>®</w:t>
      </w:r>
      <w:r w:rsidR="004F7B8F" w:rsidRPr="00343D90">
        <w:rPr>
          <w:rStyle w:val="st"/>
          <w:rFonts w:asciiTheme="minorHAnsi" w:hAnsiTheme="minorHAnsi"/>
        </w:rPr>
        <w:t xml:space="preserve"> 150 robot</w:t>
      </w:r>
      <w:r w:rsidR="004F7B8F">
        <w:rPr>
          <w:rStyle w:val="st"/>
          <w:rFonts w:asciiTheme="minorHAnsi" w:hAnsiTheme="minorHAnsi"/>
        </w:rPr>
        <w:t xml:space="preserve">. The design of the panels allowed the </w:t>
      </w:r>
      <w:r w:rsidR="004F7B8F">
        <w:t>analysis of the expression of</w:t>
      </w:r>
      <w:r w:rsidRPr="00343D90">
        <w:t xml:space="preserve"> 372</w:t>
      </w:r>
      <w:r w:rsidR="004F7B8F" w:rsidRPr="004F7B8F">
        <w:t xml:space="preserve"> </w:t>
      </w:r>
      <w:r w:rsidR="004F7B8F" w:rsidRPr="00343D90">
        <w:t>miRNAs</w:t>
      </w:r>
      <w:r w:rsidRPr="00343D90">
        <w:rPr>
          <w:rStyle w:val="st"/>
          <w:rFonts w:asciiTheme="minorHAnsi" w:hAnsiTheme="minorHAnsi"/>
        </w:rPr>
        <w:t xml:space="preserve">. UniSp6 RNA was </w:t>
      </w:r>
      <w:r w:rsidR="00301EAC">
        <w:rPr>
          <w:rStyle w:val="st"/>
          <w:rFonts w:asciiTheme="minorHAnsi" w:hAnsiTheme="minorHAnsi"/>
        </w:rPr>
        <w:t xml:space="preserve">spiked-in </w:t>
      </w:r>
      <w:r w:rsidRPr="00343D90">
        <w:rPr>
          <w:rStyle w:val="st"/>
          <w:rFonts w:asciiTheme="minorHAnsi" w:hAnsiTheme="minorHAnsi"/>
        </w:rPr>
        <w:t>during reverse transcription as positive control. qPCR reactions were performed using the following conditions: 95</w:t>
      </w:r>
      <w:r w:rsidRPr="00343D90">
        <w:rPr>
          <w:rStyle w:val="st"/>
          <w:rFonts w:asciiTheme="minorHAnsi" w:hAnsiTheme="minorHAnsi" w:cs="Calibri"/>
        </w:rPr>
        <w:t>°</w:t>
      </w:r>
      <w:r w:rsidRPr="00343D90">
        <w:rPr>
          <w:rStyle w:val="st"/>
          <w:rFonts w:asciiTheme="minorHAnsi" w:hAnsiTheme="minorHAnsi"/>
        </w:rPr>
        <w:t>C for 10 minutes, 45 amplification cycles at 95</w:t>
      </w:r>
      <w:r w:rsidRPr="00343D90">
        <w:rPr>
          <w:rStyle w:val="st"/>
          <w:rFonts w:asciiTheme="minorHAnsi" w:hAnsiTheme="minorHAnsi" w:cs="Calibri"/>
        </w:rPr>
        <w:t>°</w:t>
      </w:r>
      <w:r w:rsidRPr="00343D90">
        <w:rPr>
          <w:rStyle w:val="st"/>
          <w:rFonts w:asciiTheme="minorHAnsi" w:hAnsiTheme="minorHAnsi"/>
        </w:rPr>
        <w:t>C, 10s, 60</w:t>
      </w:r>
      <w:r w:rsidRPr="00343D90">
        <w:rPr>
          <w:rStyle w:val="st"/>
          <w:rFonts w:asciiTheme="minorHAnsi" w:hAnsiTheme="minorHAnsi" w:cs="Calibri"/>
        </w:rPr>
        <w:t>°</w:t>
      </w:r>
      <w:r w:rsidRPr="00343D90">
        <w:rPr>
          <w:rStyle w:val="st"/>
          <w:rFonts w:asciiTheme="minorHAnsi" w:hAnsiTheme="minorHAnsi"/>
        </w:rPr>
        <w:t>C, 1 min, ramp-rate 1.6</w:t>
      </w:r>
      <w:r w:rsidRPr="00343D90">
        <w:rPr>
          <w:rStyle w:val="st"/>
          <w:rFonts w:asciiTheme="minorHAnsi" w:hAnsiTheme="minorHAnsi" w:cs="Calibri"/>
        </w:rPr>
        <w:t>°</w:t>
      </w:r>
      <w:r w:rsidRPr="00343D90">
        <w:rPr>
          <w:rStyle w:val="st"/>
          <w:rFonts w:asciiTheme="minorHAnsi" w:hAnsiTheme="minorHAnsi"/>
        </w:rPr>
        <w:t xml:space="preserve">C/s on a LightCycler480 V2 instrument (Roche Diagnostics, </w:t>
      </w:r>
      <w:proofErr w:type="spellStart"/>
      <w:r w:rsidRPr="00343D90">
        <w:rPr>
          <w:rStyle w:val="st"/>
          <w:rFonts w:asciiTheme="minorHAnsi" w:hAnsiTheme="minorHAnsi"/>
        </w:rPr>
        <w:t>Meylan</w:t>
      </w:r>
      <w:proofErr w:type="spellEnd"/>
      <w:r w:rsidRPr="00343D90">
        <w:rPr>
          <w:rStyle w:val="st"/>
          <w:rFonts w:asciiTheme="minorHAnsi" w:hAnsiTheme="minorHAnsi"/>
        </w:rPr>
        <w:t xml:space="preserve">, France). </w:t>
      </w:r>
      <w:r w:rsidR="008F05E1">
        <w:rPr>
          <w:rStyle w:val="st"/>
          <w:rFonts w:asciiTheme="minorHAnsi" w:hAnsiTheme="minorHAnsi"/>
        </w:rPr>
        <w:t xml:space="preserve">Eighteen </w:t>
      </w:r>
      <w:r w:rsidR="008F05E1">
        <w:t>p</w:t>
      </w:r>
      <w:r w:rsidR="00DE3DE6">
        <w:t xml:space="preserve">lates with less than 200 microRNAs with a </w:t>
      </w:r>
      <w:proofErr w:type="spellStart"/>
      <w:r w:rsidR="00DE3DE6">
        <w:t>C</w:t>
      </w:r>
      <w:r w:rsidR="00DE3DE6" w:rsidRPr="00841182">
        <w:t>q</w:t>
      </w:r>
      <w:proofErr w:type="spellEnd"/>
      <w:r w:rsidR="00DE3DE6">
        <w:t xml:space="preserve">-value lower than 37 cycles were </w:t>
      </w:r>
      <w:r w:rsidR="008F05E1">
        <w:t>repeated</w:t>
      </w:r>
      <w:r w:rsidR="00DE3DE6">
        <w:t>. MiR data was analyzed using</w:t>
      </w:r>
      <w:r w:rsidR="004F7B8F">
        <w:t xml:space="preserve"> the</w:t>
      </w:r>
      <w:r w:rsidR="00DE3DE6">
        <w:t xml:space="preserve"> </w:t>
      </w:r>
      <w:proofErr w:type="spellStart"/>
      <w:r w:rsidR="00DE3DE6">
        <w:t>GenEx</w:t>
      </w:r>
      <w:proofErr w:type="spellEnd"/>
      <w:r w:rsidR="00DE3DE6">
        <w:t xml:space="preserve"> software (version 6, </w:t>
      </w:r>
      <w:proofErr w:type="spellStart"/>
      <w:r w:rsidR="00DE3DE6">
        <w:t>Exiqon</w:t>
      </w:r>
      <w:proofErr w:type="spellEnd"/>
      <w:r w:rsidR="00DE3DE6">
        <w:t xml:space="preserve">) </w:t>
      </w:r>
      <w:r w:rsidR="00DE3DE6" w:rsidRPr="00DC2AA9">
        <w:t>following the data analysis guide</w:t>
      </w:r>
      <w:r w:rsidR="00DE3DE6">
        <w:t>lines. Briefly, d</w:t>
      </w:r>
      <w:r w:rsidR="00DE3DE6" w:rsidRPr="00DC2AA9">
        <w:t xml:space="preserve">ata from each sample were combined and inter-plate calibration and quality control was performed. All miRNAs with </w:t>
      </w:r>
      <w:proofErr w:type="spellStart"/>
      <w:r w:rsidR="00DE3DE6" w:rsidRPr="00DC2AA9">
        <w:t>C</w:t>
      </w:r>
      <w:r w:rsidR="00DE3DE6" w:rsidRPr="00E406D3">
        <w:t>q</w:t>
      </w:r>
      <w:proofErr w:type="spellEnd"/>
      <w:r w:rsidR="00DE3DE6" w:rsidRPr="00DC2AA9">
        <w:t>-values of more than 37 cycles or with less than 60% valid data were removed from the analysis</w:t>
      </w:r>
      <w:r w:rsidR="00DE3DE6">
        <w:t xml:space="preserve">. The </w:t>
      </w:r>
      <w:proofErr w:type="spellStart"/>
      <w:r w:rsidR="00DE3DE6">
        <w:t>Cq</w:t>
      </w:r>
      <w:proofErr w:type="spellEnd"/>
      <w:r w:rsidR="00DE3DE6">
        <w:t xml:space="preserve">-values of all remaining miRs after the first steps of the process were normalized using the global mean expression of all </w:t>
      </w:r>
      <w:proofErr w:type="spellStart"/>
      <w:r w:rsidR="00DE3DE6">
        <w:t>miRs</w:t>
      </w:r>
      <w:proofErr w:type="spellEnd"/>
      <w:r w:rsidR="00DE3DE6">
        <w:t xml:space="preserve"> with a </w:t>
      </w:r>
      <w:proofErr w:type="spellStart"/>
      <w:r w:rsidR="00DE3DE6">
        <w:t>Cq</w:t>
      </w:r>
      <w:proofErr w:type="spellEnd"/>
      <w:r w:rsidR="00DE3DE6">
        <w:t>-value less than 34 as validated previously</w:t>
      </w:r>
      <w:r w:rsidR="00A070E2">
        <w:t xml:space="preserve"> </w:t>
      </w:r>
      <w:r w:rsidR="000410C4">
        <w:fldChar w:fldCharType="begin"/>
      </w:r>
      <w:r w:rsidR="00C1286F">
        <w:instrText xml:space="preserve"> ADDIN ZOTERO_ITEM CSL_CITATION {"citationID":"sWFiG6B6","properties":{"formattedCitation":"[1]","plainCitation":"[1]","noteIndex":0},"citationItems":[{"id":100,"uris":["http://zotero.org/users/local/kXGSmZCI/items/R6B8WCTN"],"uri":["http://zotero.org/users/local/kXGSmZCI/items/R6B8WCTN"],"itemData":{"id":100,"type":"article-journal","title":"A novel and universal method for microRNA RT-qPCR data normalization","container-title":"Genome Biology","page":"R64","volume":"10","issue":"6","source":"PubMed","abstract":"Gene expression analysis of microRNA molecules is becoming increasingly important. In this study we assess the use of the mean expression value of all expressed microRNAs in a given sample as a normalization factor for microRNA real-time quantitative PCR data and compare its performance to the currently adopted approach. We demonstrate that the mean expression value outperforms the current normalization strategy in terms of better reduction of technical variation and more accurate appreciation of biological changes.","DOI":"10.1186/gb-2009-10-6-r64","ISSN":"1474-760X","note":"PMID: 19531210\nPMCID: PMC2718498","journalAbbreviation":"Genome Biol.","language":"eng","author":[{"family":"Mestdagh","given":"Pieter"},{"family":"Van Vlierberghe","given":"Pieter"},{"family":"De Weer","given":"An"},{"family":"Muth","given":"Daniel"},{"family":"Westermann","given":"Frank"},{"family":"Speleman","given":"Frank"},{"family":"Vandesompele","given":"Jo"}],"issued":{"date-parts":[["2009"]]}}}],"schema":"https://github.com/citation-style-language/schema/raw/master/csl-citation.json"} </w:instrText>
      </w:r>
      <w:r w:rsidR="000410C4">
        <w:fldChar w:fldCharType="separate"/>
      </w:r>
      <w:r w:rsidR="003D447A" w:rsidRPr="003D447A">
        <w:rPr>
          <w:rFonts w:ascii="Calibri" w:hAnsi="Calibri" w:cs="Calibri"/>
        </w:rPr>
        <w:t>[1]</w:t>
      </w:r>
      <w:r w:rsidR="000410C4">
        <w:fldChar w:fldCharType="end"/>
      </w:r>
      <w:r w:rsidR="00A070E2">
        <w:t>.</w:t>
      </w:r>
      <w:r w:rsidR="00DE3DE6" w:rsidRPr="00BD3344">
        <w:t xml:space="preserve"> </w:t>
      </w:r>
      <w:r w:rsidR="00DE3DE6" w:rsidRPr="00E406D3">
        <w:rPr>
          <w:rFonts w:eastAsia="TimesNewRomanPSMT"/>
        </w:rPr>
        <w:t xml:space="preserve">Following normalization, </w:t>
      </w:r>
      <w:r w:rsidR="00DE3DE6">
        <w:rPr>
          <w:rFonts w:eastAsia="TimesNewRomanPSMT"/>
        </w:rPr>
        <w:t xml:space="preserve">the relative </w:t>
      </w:r>
      <w:r w:rsidR="00DE3DE6" w:rsidRPr="00E406D3">
        <w:rPr>
          <w:rFonts w:eastAsia="TimesNewRomanPSMT"/>
        </w:rPr>
        <w:t xml:space="preserve">miR expression </w:t>
      </w:r>
      <w:r w:rsidR="00DE3DE6">
        <w:rPr>
          <w:rFonts w:eastAsia="TimesNewRomanPSMT"/>
        </w:rPr>
        <w:t xml:space="preserve">level </w:t>
      </w:r>
      <w:r w:rsidR="00DE3DE6" w:rsidRPr="00E406D3">
        <w:rPr>
          <w:rFonts w:eastAsia="TimesNewRomanPSMT"/>
        </w:rPr>
        <w:t>w</w:t>
      </w:r>
      <w:r w:rsidR="00DE3DE6">
        <w:rPr>
          <w:rFonts w:eastAsia="TimesNewRomanPSMT"/>
        </w:rPr>
        <w:t>as</w:t>
      </w:r>
      <w:r w:rsidR="00DE3DE6" w:rsidRPr="00E406D3">
        <w:rPr>
          <w:rFonts w:eastAsia="TimesNewRomanPSMT"/>
        </w:rPr>
        <w:t xml:space="preserve"> </w:t>
      </w:r>
      <w:r w:rsidR="00DE3DE6">
        <w:rPr>
          <w:rFonts w:eastAsia="TimesNewRomanPSMT"/>
        </w:rPr>
        <w:t xml:space="preserve">calculated </w:t>
      </w:r>
      <w:r w:rsidR="00DE3DE6" w:rsidRPr="00A26020">
        <w:rPr>
          <w:rFonts w:eastAsia="TimesNewRomanPSMT"/>
        </w:rPr>
        <w:t>using the 2</w:t>
      </w:r>
      <w:r w:rsidR="00DE3DE6" w:rsidRPr="00A26020">
        <w:rPr>
          <w:rFonts w:eastAsia="TimesNewRomanPSMT"/>
          <w:vertAlign w:val="superscript"/>
        </w:rPr>
        <w:t>-</w:t>
      </w:r>
      <w:r w:rsidR="00DE3DE6" w:rsidRPr="00A26020">
        <w:rPr>
          <w:rStyle w:val="st"/>
          <w:vertAlign w:val="superscript"/>
        </w:rPr>
        <w:t>∆∆</w:t>
      </w:r>
      <w:r w:rsidR="00DE3DE6" w:rsidRPr="00A26020">
        <w:rPr>
          <w:rFonts w:eastAsia="TimesNewRomanPSMT"/>
          <w:vertAlign w:val="superscript"/>
        </w:rPr>
        <w:t>Ct</w:t>
      </w:r>
      <w:r w:rsidR="00DE3DE6" w:rsidRPr="00A26020">
        <w:rPr>
          <w:rFonts w:eastAsia="TimesNewRomanPSMT"/>
        </w:rPr>
        <w:t xml:space="preserve"> method</w:t>
      </w:r>
      <w:r w:rsidR="00A070E2">
        <w:rPr>
          <w:rFonts w:eastAsia="TimesNewRomanPSMT"/>
        </w:rPr>
        <w:t xml:space="preserve"> </w:t>
      </w:r>
      <w:r w:rsidR="00A26020" w:rsidRPr="00A26020">
        <w:rPr>
          <w:rFonts w:eastAsia="TimesNewRomanPSMT"/>
        </w:rPr>
        <w:fldChar w:fldCharType="begin"/>
      </w:r>
      <w:r w:rsidR="00C1286F">
        <w:rPr>
          <w:rFonts w:eastAsia="TimesNewRomanPSMT"/>
        </w:rPr>
        <w:instrText xml:space="preserve"> ADDIN ZOTERO_ITEM CSL_CITATION {"citationID":"O5EO8FHa","properties":{"formattedCitation":"[2]","plainCitation":"[2]","noteIndex":0},"citationItems":[{"id":102,"uris":["http://zotero.org/users/local/kXGSmZCI/items/77K4AQJV"],"uri":["http://zotero.org/users/local/kXGSmZCI/items/77K4AQJV"],"itemData":{"id":102,"type":"article-journal","title":"Analysis of relative gene expression data using real-time quantitative PCR and the 2(-Delta Delta C(T)) Method","container-title":"Methods (San Diego, Calif.)","page":"402-408","volume":"25","issue":"4","source":"PubMed","abstract":"The two most commonly used methods to analyze data from real-time, quantitative PCR experiments are absolute quantification and relative quantification. Absolute quantification determines the input copy number, usually by relating the PCR signal to a standard curve. Relative quantification relates the PCR signal of the target transcript in a treatment group to that of another sample such as an untreated control. The 2(-Delta Delta C(T)) method is a convenient way to analyze the relative changes in gene expression from real-time quantitative PCR experiments. The purpose of this report is to present the derivation, assumptions, and applications of the 2(-Delta Delta C(T)) method. In addition, we present the derivation and applications of two variations of the 2(-Delta Delta C(T)) method that may be useful in the analysis of real-time, quantitative PCR data.","DOI":"10.1006/meth.2001.1262","ISSN":"1046-2023","note":"PMID: 11846609","journalAbbreviation":"Methods","language":"eng","author":[{"family":"Livak","given":"K. J."},{"family":"Schmittgen","given":"T. D."}],"issued":{"date-parts":[["2001",12]]}}}],"schema":"https://github.com/citation-style-language/schema/raw/master/csl-citation.json"} </w:instrText>
      </w:r>
      <w:r w:rsidR="00A26020" w:rsidRPr="00A26020">
        <w:rPr>
          <w:rFonts w:eastAsia="TimesNewRomanPSMT"/>
        </w:rPr>
        <w:fldChar w:fldCharType="separate"/>
      </w:r>
      <w:r w:rsidR="003D447A" w:rsidRPr="003D447A">
        <w:rPr>
          <w:rFonts w:ascii="Calibri" w:hAnsi="Calibri" w:cs="Calibri"/>
        </w:rPr>
        <w:t>[2]</w:t>
      </w:r>
      <w:r w:rsidR="00A26020" w:rsidRPr="00A26020">
        <w:rPr>
          <w:rFonts w:eastAsia="TimesNewRomanPSMT"/>
        </w:rPr>
        <w:fldChar w:fldCharType="end"/>
      </w:r>
      <w:r w:rsidR="00A070E2">
        <w:rPr>
          <w:rFonts w:eastAsia="TimesNewRomanPSMT"/>
        </w:rPr>
        <w:t>.</w:t>
      </w:r>
      <w:r w:rsidR="008F05E1" w:rsidRPr="00A26020">
        <w:rPr>
          <w:rFonts w:eastAsia="TimesNewRomanPSMT"/>
        </w:rPr>
        <w:t xml:space="preserve"> </w:t>
      </w:r>
      <w:r w:rsidR="00301EAC" w:rsidRPr="00A26020">
        <w:t>D</w:t>
      </w:r>
      <w:r w:rsidR="00301EAC" w:rsidRPr="00653F10">
        <w:t>IANA-</w:t>
      </w:r>
      <w:proofErr w:type="spellStart"/>
      <w:r w:rsidR="00301EAC" w:rsidRPr="00653F10">
        <w:t>mirpath</w:t>
      </w:r>
      <w:proofErr w:type="spellEnd"/>
      <w:r w:rsidR="008F05E1">
        <w:t xml:space="preserve"> </w:t>
      </w:r>
      <w:r w:rsidR="00301EAC" w:rsidRPr="00653F10">
        <w:rPr>
          <w:i/>
        </w:rPr>
        <w:t>(</w:t>
      </w:r>
      <w:hyperlink r:id="rId7" w:history="1">
        <w:r w:rsidR="00301EAC" w:rsidRPr="00D617A6">
          <w:rPr>
            <w:rStyle w:val="Hyperlink"/>
            <w:i/>
          </w:rPr>
          <w:t>http://diana.imis.athena-innovation.gr/DianaTools/index.php?r=mirpath</w:t>
        </w:r>
      </w:hyperlink>
      <w:r w:rsidR="00301EAC" w:rsidRPr="001D33A7">
        <w:rPr>
          <w:i/>
        </w:rPr>
        <w:t>)</w:t>
      </w:r>
      <w:r w:rsidR="00301EAC">
        <w:rPr>
          <w:i/>
        </w:rPr>
        <w:t xml:space="preserve"> </w:t>
      </w:r>
      <w:r w:rsidR="00301EAC" w:rsidRPr="008F05E1">
        <w:t xml:space="preserve">was used for the </w:t>
      </w:r>
      <w:r w:rsidR="001D33A7">
        <w:t xml:space="preserve">pathway analysis </w:t>
      </w:r>
      <w:r w:rsidR="00301EAC">
        <w:t xml:space="preserve">of </w:t>
      </w:r>
      <w:r w:rsidR="001D33A7">
        <w:t xml:space="preserve">the differentially expressed </w:t>
      </w:r>
      <w:proofErr w:type="spellStart"/>
      <w:r w:rsidR="001D33A7">
        <w:t>miR</w:t>
      </w:r>
      <w:r w:rsidR="00301EAC">
        <w:t>s</w:t>
      </w:r>
      <w:proofErr w:type="spellEnd"/>
      <w:r w:rsidR="00A070E2">
        <w:t xml:space="preserve"> </w:t>
      </w:r>
      <w:r w:rsidR="00A26020">
        <w:fldChar w:fldCharType="begin"/>
      </w:r>
      <w:r w:rsidR="00C1286F">
        <w:instrText xml:space="preserve"> ADDIN ZOTERO_ITEM CSL_CITATION {"citationID":"fkKChna2","properties":{"formattedCitation":"[3]","plainCitation":"[3]","noteIndex":0},"citationItems":[{"id":60,"uris":["http://zotero.org/users/local/kXGSmZCI/items/RV4CBB9M"],"uri":["http://zotero.org/users/local/kXGSmZCI/items/RV4CBB9M"],"itemData":{"id":60,"type":"article-journal","title":"DIANA miRPath v.2.0: investigating the combinatorial effect of microRNAs in pathways","container-title":"Nucleic Acids Research","page":"W498-504","volume":"40","issue":"Web Server issue","source":"PubMed","abstract":"MicroRNAs (miRNAs) are key regulators of diverse biological processes and their functional analysis has been deemed central in many research pipelines. The new version of DIANA-miRPath web server was redesigned from the ground-up. The user of DNA Intelligent Analysis (DIANA) DIANA-miRPath v2.0 can now utilize miRNA targets predicted with high accuracy based on DIANA-microT-CDS and/or experimentally verified targets from TarBase v6; combine results with merging and meta-analysis algorithms; perform hierarchical clustering of miRNAs and pathways based on their interaction levels; as well as elaborate sophisticated visualizations, such as dendrograms or miRNA versus pathway heat maps, from an intuitive and easy to use web interface. New modules enable DIANA-miRPath server to provide information regarding pathogenic single nucleotide polymorphisms (SNPs) in miRNA target sites (SNPs module) or to annotate all the predicted and experimentally validated miRNA targets in a selected molecular pathway (Reverse Search module). DIANA-miRPath v2.0 is an efficient and yet easy to use tool that can be incorporated successfully into miRNA-related analysis pipelines. It provides for the first time a series of highly specific tools for miRNA-targeted pathway analysis via a web interface and can be accessed at http://www.microrna.gr/miRPathv2.","DOI":"10.1093/nar/gks494","ISSN":"1362-4962","note":"PMID: 22649059\nPMCID: PMC3394305","shortTitle":"DIANA miRPath v.2.0","journalAbbreviation":"Nucleic Acids Res.","language":"eng","author":[{"family":"Vlachos","given":"Ioannis S."},{"family":"Kostoulas","given":"Nikos"},{"family":"Vergoulis","given":"Thanasis"},{"family":"Georgakilas","given":"Georgios"},{"family":"Reczko","given":"Martin"},{"family":"Maragkakis","given":"Manolis"},{"family":"Paraskevopoulou","given":"Maria D."},{"family":"Prionidis","given":"Kostantinos"},{"family":"Dalamagas","given":"Theodore"},{"family":"Hatzigeorgiou","given":"Artemis G."}],"issued":{"date-parts":[["2012",7]]}}}],"schema":"https://github.com/citation-style-language/schema/raw/master/csl-citation.json"} </w:instrText>
      </w:r>
      <w:r w:rsidR="00A26020">
        <w:fldChar w:fldCharType="separate"/>
      </w:r>
      <w:r w:rsidR="003D447A" w:rsidRPr="003D447A">
        <w:rPr>
          <w:rFonts w:ascii="Calibri" w:hAnsi="Calibri" w:cs="Calibri"/>
        </w:rPr>
        <w:t>[3]</w:t>
      </w:r>
      <w:r w:rsidR="00A26020">
        <w:fldChar w:fldCharType="end"/>
      </w:r>
      <w:r w:rsidR="00A070E2">
        <w:t>.</w:t>
      </w:r>
    </w:p>
    <w:p w14:paraId="3CAA7C9F" w14:textId="77777777" w:rsidR="00F023DC" w:rsidRDefault="00F023DC">
      <w:pPr>
        <w:rPr>
          <w:b/>
          <w:sz w:val="32"/>
        </w:rPr>
      </w:pPr>
      <w:r>
        <w:rPr>
          <w:b/>
          <w:sz w:val="32"/>
        </w:rPr>
        <w:br w:type="page"/>
      </w:r>
    </w:p>
    <w:p w14:paraId="66439DA8" w14:textId="2865D47A" w:rsidR="00B16CA1" w:rsidRDefault="00F023DC" w:rsidP="00B16CA1">
      <w:pPr>
        <w:jc w:val="both"/>
      </w:pPr>
      <w:r>
        <w:rPr>
          <w:b/>
          <w:lang w:val="en-GB"/>
        </w:rPr>
        <w:lastRenderedPageBreak/>
        <w:t>F</w:t>
      </w:r>
      <w:r w:rsidR="00B16CA1" w:rsidRPr="00B16CA1">
        <w:rPr>
          <w:b/>
          <w:lang w:val="en-GB"/>
        </w:rPr>
        <w:t xml:space="preserve">igure </w:t>
      </w:r>
      <w:proofErr w:type="spellStart"/>
      <w:r w:rsidR="00A30FD9">
        <w:rPr>
          <w:b/>
          <w:lang w:val="en-GB"/>
        </w:rPr>
        <w:t>S</w:t>
      </w:r>
      <w:r w:rsidR="00B16CA1">
        <w:rPr>
          <w:b/>
          <w:lang w:val="en-GB"/>
        </w:rPr>
        <w:t>1</w:t>
      </w:r>
      <w:proofErr w:type="spellEnd"/>
      <w:r w:rsidR="00B16CA1" w:rsidRPr="00B16CA1">
        <w:rPr>
          <w:b/>
          <w:lang w:val="en-GB"/>
        </w:rPr>
        <w:t xml:space="preserve">: </w:t>
      </w:r>
      <w:r w:rsidR="00B16CA1" w:rsidRPr="00B60D38">
        <w:rPr>
          <w:b/>
        </w:rPr>
        <w:t xml:space="preserve">Principal component analysis of microRNAs </w:t>
      </w:r>
      <w:r w:rsidR="00B16CA1">
        <w:rPr>
          <w:b/>
        </w:rPr>
        <w:t>expression</w:t>
      </w:r>
      <w:r w:rsidR="008A6CF7">
        <w:rPr>
          <w:b/>
        </w:rPr>
        <w:t xml:space="preserve"> and hierarchical clustering analysis</w:t>
      </w:r>
      <w:r w:rsidR="00B16CA1">
        <w:rPr>
          <w:b/>
        </w:rPr>
        <w:t xml:space="preserve"> </w:t>
      </w:r>
      <w:r w:rsidR="00B16CA1" w:rsidRPr="00B60D38">
        <w:rPr>
          <w:b/>
        </w:rPr>
        <w:t>in the exploratory cohort (A</w:t>
      </w:r>
      <w:r w:rsidR="00470FD1">
        <w:rPr>
          <w:b/>
        </w:rPr>
        <w:t>, C</w:t>
      </w:r>
      <w:r w:rsidR="00B16CA1" w:rsidRPr="00B60D38">
        <w:rPr>
          <w:b/>
        </w:rPr>
        <w:t xml:space="preserve">) and </w:t>
      </w:r>
      <w:r w:rsidR="00B16CA1">
        <w:rPr>
          <w:b/>
        </w:rPr>
        <w:t xml:space="preserve">in </w:t>
      </w:r>
      <w:r w:rsidR="00B16CA1" w:rsidRPr="00B60D38">
        <w:rPr>
          <w:b/>
        </w:rPr>
        <w:t>the replication cohort (B</w:t>
      </w:r>
      <w:r w:rsidR="00470FD1">
        <w:rPr>
          <w:b/>
        </w:rPr>
        <w:t>, D</w:t>
      </w:r>
      <w:r w:rsidR="00B16CA1" w:rsidRPr="00B60D38">
        <w:rPr>
          <w:b/>
        </w:rPr>
        <w:t>).</w:t>
      </w:r>
      <w:r w:rsidR="00B16CA1">
        <w:t xml:space="preserve"> </w:t>
      </w:r>
      <w:r w:rsidR="00B16CA1" w:rsidRPr="009065AE">
        <w:t>Each scatter-spot</w:t>
      </w:r>
      <w:r w:rsidR="00470FD1">
        <w:t xml:space="preserve"> or each bar</w:t>
      </w:r>
      <w:r w:rsidR="00B16CA1" w:rsidRPr="009065AE">
        <w:t xml:space="preserve"> represents the average of normalized miRNA </w:t>
      </w:r>
      <w:r w:rsidR="00B16CA1">
        <w:t xml:space="preserve">expression </w:t>
      </w:r>
      <w:r w:rsidR="00B16CA1" w:rsidRPr="009065AE">
        <w:t xml:space="preserve">levels </w:t>
      </w:r>
      <w:r w:rsidR="00301EAC">
        <w:t>from CD4</w:t>
      </w:r>
      <w:r w:rsidR="00301EAC" w:rsidRPr="00B16CA1">
        <w:rPr>
          <w:vertAlign w:val="superscript"/>
        </w:rPr>
        <w:t>+</w:t>
      </w:r>
      <w:r w:rsidR="00301EAC">
        <w:t xml:space="preserve"> T lymphocytes of </w:t>
      </w:r>
      <w:r w:rsidR="00B16CA1">
        <w:t xml:space="preserve">patients (blue) </w:t>
      </w:r>
      <w:r w:rsidR="00301EAC">
        <w:t xml:space="preserve">or </w:t>
      </w:r>
      <w:r w:rsidR="00B16CA1">
        <w:t>controls (red) and</w:t>
      </w:r>
      <w:r w:rsidR="00301EAC">
        <w:t xml:space="preserve"> CD14</w:t>
      </w:r>
      <w:r w:rsidR="00301EAC" w:rsidRPr="00B16CA1">
        <w:rPr>
          <w:vertAlign w:val="superscript"/>
        </w:rPr>
        <w:t>+</w:t>
      </w:r>
      <w:r w:rsidR="00301EAC">
        <w:t xml:space="preserve"> monocytes of </w:t>
      </w:r>
      <w:r w:rsidR="00B16CA1">
        <w:t xml:space="preserve">patients (green) </w:t>
      </w:r>
      <w:r w:rsidR="00301EAC">
        <w:t xml:space="preserve">or </w:t>
      </w:r>
      <w:r w:rsidR="00B16CA1">
        <w:t>controls (black).</w:t>
      </w:r>
    </w:p>
    <w:p w14:paraId="35A31138" w14:textId="4686B36A" w:rsidR="00FE669E" w:rsidRDefault="00FE669E" w:rsidP="00FE669E">
      <w:r w:rsidRPr="00181703">
        <w:rPr>
          <w:b/>
        </w:rPr>
        <w:t>A</w:t>
      </w:r>
      <w:r>
        <w:tab/>
      </w:r>
      <w:r>
        <w:tab/>
      </w:r>
      <w:r>
        <w:tab/>
      </w:r>
      <w:r>
        <w:tab/>
      </w:r>
      <w:r>
        <w:tab/>
      </w:r>
      <w:r>
        <w:tab/>
        <w:t xml:space="preserve">      </w:t>
      </w:r>
      <w:r w:rsidRPr="00181703">
        <w:rPr>
          <w:b/>
        </w:rPr>
        <w:t>B</w:t>
      </w:r>
    </w:p>
    <w:p w14:paraId="785197E7" w14:textId="07C70D87" w:rsidR="00F21C99" w:rsidRPr="00F21C99" w:rsidRDefault="00B16CA1" w:rsidP="00B16CA1">
      <w:pPr>
        <w:rPr>
          <w:b/>
          <w:lang w:val="en-GB"/>
        </w:rPr>
      </w:pPr>
      <w:r>
        <w:rPr>
          <w:noProof/>
        </w:rPr>
        <w:drawing>
          <wp:inline distT="0" distB="0" distL="0" distR="0" wp14:anchorId="3C615471" wp14:editId="5D4EFD15">
            <wp:extent cx="2867025" cy="2123331"/>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xplo.tiff"/>
                    <pic:cNvPicPr/>
                  </pic:nvPicPr>
                  <pic:blipFill rotWithShape="1">
                    <a:blip r:embed="rId8"/>
                    <a:srcRect t="11158"/>
                    <a:stretch/>
                  </pic:blipFill>
                  <pic:spPr bwMode="auto">
                    <a:xfrm>
                      <a:off x="0" y="0"/>
                      <a:ext cx="2885135" cy="2136743"/>
                    </a:xfrm>
                    <a:prstGeom prst="rect">
                      <a:avLst/>
                    </a:prstGeom>
                    <a:ln>
                      <a:noFill/>
                    </a:ln>
                    <a:extLst>
                      <a:ext uri="{53640926-AAD7-44D8-BBD7-CCE9431645EC}">
                        <a14:shadowObscured xmlns:a14="http://schemas.microsoft.com/office/drawing/2010/main"/>
                      </a:ext>
                    </a:extLst>
                  </pic:spPr>
                </pic:pic>
              </a:graphicData>
            </a:graphic>
          </wp:inline>
        </w:drawing>
      </w:r>
      <w:r w:rsidR="00181703">
        <w:rPr>
          <w:b/>
          <w:noProof/>
        </w:rPr>
        <w:drawing>
          <wp:inline distT="0" distB="0" distL="0" distR="0" wp14:anchorId="7A5E9921" wp14:editId="42EA278E">
            <wp:extent cx="2837177" cy="2057400"/>
            <wp:effectExtent l="0" t="0" r="190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t="12903"/>
                    <a:stretch/>
                  </pic:blipFill>
                  <pic:spPr bwMode="auto">
                    <a:xfrm>
                      <a:off x="0" y="0"/>
                      <a:ext cx="2840990" cy="2060165"/>
                    </a:xfrm>
                    <a:prstGeom prst="rect">
                      <a:avLst/>
                    </a:prstGeom>
                    <a:noFill/>
                    <a:ln>
                      <a:noFill/>
                    </a:ln>
                    <a:extLst>
                      <a:ext uri="{53640926-AAD7-44D8-BBD7-CCE9431645EC}">
                        <a14:shadowObscured xmlns:a14="http://schemas.microsoft.com/office/drawing/2010/main"/>
                      </a:ext>
                    </a:extLst>
                  </pic:spPr>
                </pic:pic>
              </a:graphicData>
            </a:graphic>
          </wp:inline>
        </w:drawing>
      </w:r>
    </w:p>
    <w:p w14:paraId="10B0C2A5" w14:textId="05AC9300" w:rsidR="00181703" w:rsidRPr="00181703" w:rsidRDefault="00181703" w:rsidP="00B16CA1">
      <w:pPr>
        <w:rPr>
          <w:b/>
          <w:lang w:val="en-GB"/>
        </w:rPr>
      </w:pPr>
      <w:r w:rsidRPr="00181703">
        <w:rPr>
          <w:b/>
          <w:lang w:val="en-GB"/>
        </w:rPr>
        <w:t>C</w:t>
      </w:r>
    </w:p>
    <w:p w14:paraId="1672DA16" w14:textId="1EB812D3" w:rsidR="00F21C99" w:rsidRDefault="00F21C99" w:rsidP="00B16CA1">
      <w:pPr>
        <w:rPr>
          <w:lang w:val="en-GB"/>
        </w:rPr>
      </w:pPr>
      <w:r>
        <w:rPr>
          <w:noProof/>
        </w:rPr>
        <w:drawing>
          <wp:inline distT="0" distB="0" distL="0" distR="0" wp14:anchorId="0447AB49" wp14:editId="20762FE8">
            <wp:extent cx="5474970" cy="331660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4970" cy="3316605"/>
                    </a:xfrm>
                    <a:prstGeom prst="rect">
                      <a:avLst/>
                    </a:prstGeom>
                    <a:noFill/>
                  </pic:spPr>
                </pic:pic>
              </a:graphicData>
            </a:graphic>
          </wp:inline>
        </w:drawing>
      </w:r>
    </w:p>
    <w:p w14:paraId="2DFD8CE4" w14:textId="77777777" w:rsidR="00181703" w:rsidRDefault="00181703" w:rsidP="00B16CA1">
      <w:pPr>
        <w:rPr>
          <w:b/>
          <w:lang w:val="en-GB"/>
        </w:rPr>
      </w:pPr>
    </w:p>
    <w:p w14:paraId="22CC1DC9" w14:textId="788FA67C" w:rsidR="008A6CF7" w:rsidRDefault="00181703" w:rsidP="00B16CA1">
      <w:pPr>
        <w:rPr>
          <w:b/>
          <w:lang w:val="en-GB"/>
        </w:rPr>
      </w:pPr>
      <w:r>
        <w:rPr>
          <w:b/>
          <w:lang w:val="en-GB"/>
        </w:rPr>
        <w:t>D</w:t>
      </w:r>
    </w:p>
    <w:p w14:paraId="2FF14F3B" w14:textId="1252CFAB" w:rsidR="00F21C99" w:rsidRDefault="00F21C99" w:rsidP="00B16CA1">
      <w:pPr>
        <w:rPr>
          <w:b/>
          <w:lang w:val="en-GB"/>
        </w:rPr>
      </w:pPr>
      <w:r>
        <w:rPr>
          <w:b/>
          <w:noProof/>
        </w:rPr>
        <w:lastRenderedPageBreak/>
        <w:drawing>
          <wp:inline distT="0" distB="0" distL="0" distR="0" wp14:anchorId="62401A31" wp14:editId="29F0B4BF">
            <wp:extent cx="5474970" cy="331660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4970" cy="3316605"/>
                    </a:xfrm>
                    <a:prstGeom prst="rect">
                      <a:avLst/>
                    </a:prstGeom>
                    <a:noFill/>
                  </pic:spPr>
                </pic:pic>
              </a:graphicData>
            </a:graphic>
          </wp:inline>
        </w:drawing>
      </w:r>
    </w:p>
    <w:p w14:paraId="1AD72145" w14:textId="4A24207E" w:rsidR="00FE669E" w:rsidRDefault="00FE669E">
      <w:pPr>
        <w:rPr>
          <w:b/>
          <w:lang w:val="en-GB"/>
        </w:rPr>
      </w:pPr>
      <w:r>
        <w:rPr>
          <w:b/>
          <w:lang w:val="en-GB"/>
        </w:rPr>
        <w:br w:type="page"/>
      </w:r>
    </w:p>
    <w:p w14:paraId="5D3949F8" w14:textId="25B7C6A3" w:rsidR="004721FC" w:rsidRDefault="00F023DC" w:rsidP="00B16CA1">
      <w:pPr>
        <w:rPr>
          <w:b/>
          <w:noProof/>
          <w:lang w:eastAsia="fr-FR"/>
        </w:rPr>
      </w:pPr>
      <w:r>
        <w:rPr>
          <w:b/>
          <w:lang w:val="en-GB"/>
        </w:rPr>
        <w:lastRenderedPageBreak/>
        <w:t>F</w:t>
      </w:r>
      <w:r w:rsidR="00FE669E">
        <w:rPr>
          <w:b/>
          <w:lang w:val="en-GB"/>
        </w:rPr>
        <w:t xml:space="preserve">igure </w:t>
      </w:r>
      <w:proofErr w:type="spellStart"/>
      <w:r w:rsidR="00A30FD9">
        <w:rPr>
          <w:b/>
          <w:lang w:val="en-GB"/>
        </w:rPr>
        <w:t>S</w:t>
      </w:r>
      <w:r w:rsidR="00FE669E">
        <w:rPr>
          <w:b/>
          <w:lang w:val="en-GB"/>
        </w:rPr>
        <w:t>2</w:t>
      </w:r>
      <w:proofErr w:type="spellEnd"/>
      <w:r w:rsidR="00FE669E">
        <w:rPr>
          <w:b/>
          <w:lang w:val="en-GB"/>
        </w:rPr>
        <w:t>:</w:t>
      </w:r>
      <w:r w:rsidR="004721FC" w:rsidRPr="004721FC">
        <w:rPr>
          <w:b/>
          <w:noProof/>
          <w:lang w:eastAsia="fr-FR"/>
        </w:rPr>
        <w:t xml:space="preserve"> </w:t>
      </w:r>
      <w:r w:rsidR="004721FC">
        <w:rPr>
          <w:b/>
          <w:noProof/>
          <w:lang w:eastAsia="fr-FR"/>
        </w:rPr>
        <w:t xml:space="preserve"> </w:t>
      </w:r>
      <w:r w:rsidR="00AA224A">
        <w:rPr>
          <w:b/>
          <w:noProof/>
          <w:lang w:eastAsia="fr-FR"/>
        </w:rPr>
        <w:t>Pathways analysis of significant</w:t>
      </w:r>
      <w:r w:rsidR="004721FC">
        <w:rPr>
          <w:b/>
          <w:noProof/>
          <w:lang w:eastAsia="fr-FR"/>
        </w:rPr>
        <w:t xml:space="preserve"> differentially expressed miRs in monocytes (A) and </w:t>
      </w:r>
      <w:r w:rsidR="00301EAC">
        <w:rPr>
          <w:b/>
          <w:noProof/>
          <w:lang w:eastAsia="fr-FR"/>
        </w:rPr>
        <w:t>CD4</w:t>
      </w:r>
      <w:r w:rsidR="00301EAC" w:rsidRPr="008F05E1">
        <w:rPr>
          <w:b/>
          <w:noProof/>
          <w:vertAlign w:val="superscript"/>
          <w:lang w:eastAsia="fr-FR"/>
        </w:rPr>
        <w:t>+</w:t>
      </w:r>
      <w:r w:rsidR="00301EAC">
        <w:rPr>
          <w:b/>
          <w:noProof/>
          <w:lang w:eastAsia="fr-FR"/>
        </w:rPr>
        <w:t xml:space="preserve"> </w:t>
      </w:r>
      <w:r w:rsidR="004721FC">
        <w:rPr>
          <w:b/>
          <w:noProof/>
          <w:lang w:eastAsia="fr-FR"/>
        </w:rPr>
        <w:t>T lymphocytes (B)</w:t>
      </w:r>
      <w:r w:rsidR="00AA224A">
        <w:rPr>
          <w:b/>
          <w:noProof/>
          <w:lang w:eastAsia="fr-FR"/>
        </w:rPr>
        <w:t xml:space="preserve">. </w:t>
      </w:r>
      <w:r w:rsidR="00AA224A" w:rsidRPr="00AA224A">
        <w:rPr>
          <w:noProof/>
          <w:lang w:eastAsia="fr-FR"/>
        </w:rPr>
        <w:t>An enrichment</w:t>
      </w:r>
      <w:r w:rsidR="00AA224A">
        <w:rPr>
          <w:b/>
          <w:noProof/>
          <w:lang w:eastAsia="fr-FR"/>
        </w:rPr>
        <w:t xml:space="preserve"> </w:t>
      </w:r>
      <w:r w:rsidR="00AA224A" w:rsidRPr="00AA224A">
        <w:rPr>
          <w:noProof/>
          <w:lang w:eastAsia="fr-FR"/>
        </w:rPr>
        <w:t>in fatty acid</w:t>
      </w:r>
      <w:r w:rsidR="00AA224A">
        <w:rPr>
          <w:b/>
          <w:noProof/>
          <w:lang w:eastAsia="fr-FR"/>
        </w:rPr>
        <w:t xml:space="preserve"> </w:t>
      </w:r>
      <w:r w:rsidR="00AA224A">
        <w:rPr>
          <w:noProof/>
          <w:lang w:eastAsia="fr-FR"/>
        </w:rPr>
        <w:t>biosynthesis and metabolim</w:t>
      </w:r>
      <w:r w:rsidR="00AA224A" w:rsidRPr="00AA224A">
        <w:rPr>
          <w:noProof/>
          <w:lang w:eastAsia="fr-FR"/>
        </w:rPr>
        <w:t xml:space="preserve"> and in ECM-receptor interaction</w:t>
      </w:r>
      <w:r w:rsidR="00301EAC">
        <w:rPr>
          <w:noProof/>
          <w:lang w:eastAsia="fr-FR"/>
        </w:rPr>
        <w:t>s</w:t>
      </w:r>
      <w:r w:rsidR="00AA224A">
        <w:rPr>
          <w:noProof/>
          <w:lang w:eastAsia="fr-FR"/>
        </w:rPr>
        <w:t xml:space="preserve"> </w:t>
      </w:r>
      <w:r w:rsidR="00301EAC">
        <w:rPr>
          <w:noProof/>
          <w:lang w:eastAsia="fr-FR"/>
        </w:rPr>
        <w:t>were</w:t>
      </w:r>
      <w:r w:rsidR="00AA224A">
        <w:rPr>
          <w:noProof/>
          <w:lang w:eastAsia="fr-FR"/>
        </w:rPr>
        <w:t xml:space="preserve"> observed in both monocytes and T lymphocytes suggesting an involvment in the pathophysiology of the disease.</w:t>
      </w:r>
    </w:p>
    <w:p w14:paraId="5C4E2EC3" w14:textId="526C444E" w:rsidR="004721FC" w:rsidRDefault="00AA224A" w:rsidP="00B16CA1">
      <w:pPr>
        <w:rPr>
          <w:b/>
          <w:noProof/>
          <w:lang w:eastAsia="fr-FR"/>
        </w:rPr>
      </w:pPr>
      <w:r>
        <w:rPr>
          <w:b/>
          <w:noProof/>
          <w:lang w:eastAsia="fr-FR"/>
        </w:rPr>
        <w:t>A</w:t>
      </w:r>
    </w:p>
    <w:p w14:paraId="66FF661A" w14:textId="79D78675" w:rsidR="00FE669E" w:rsidRDefault="004721FC" w:rsidP="00B16CA1">
      <w:pPr>
        <w:rPr>
          <w:b/>
          <w:lang w:val="en-GB"/>
        </w:rPr>
      </w:pPr>
      <w:r>
        <w:rPr>
          <w:b/>
          <w:noProof/>
        </w:rPr>
        <w:drawing>
          <wp:inline distT="0" distB="0" distL="0" distR="0" wp14:anchorId="3674EB3A" wp14:editId="3E70E94F">
            <wp:extent cx="5759450" cy="4813935"/>
            <wp:effectExtent l="0" t="0" r="0" b="571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MapCD14_13 mirs.png"/>
                    <pic:cNvPicPr/>
                  </pic:nvPicPr>
                  <pic:blipFill>
                    <a:blip r:embed="rId12">
                      <a:extLst>
                        <a:ext uri="{28A0092B-C50C-407E-A947-70E740481C1C}">
                          <a14:useLocalDpi xmlns:a14="http://schemas.microsoft.com/office/drawing/2010/main" val="0"/>
                        </a:ext>
                      </a:extLst>
                    </a:blip>
                    <a:stretch>
                      <a:fillRect/>
                    </a:stretch>
                  </pic:blipFill>
                  <pic:spPr>
                    <a:xfrm>
                      <a:off x="0" y="0"/>
                      <a:ext cx="5759450" cy="4813935"/>
                    </a:xfrm>
                    <a:prstGeom prst="rect">
                      <a:avLst/>
                    </a:prstGeom>
                  </pic:spPr>
                </pic:pic>
              </a:graphicData>
            </a:graphic>
          </wp:inline>
        </w:drawing>
      </w:r>
    </w:p>
    <w:p w14:paraId="6E967C25" w14:textId="77777777" w:rsidR="00AA224A" w:rsidRDefault="00AA224A" w:rsidP="00B16CA1">
      <w:pPr>
        <w:rPr>
          <w:b/>
          <w:noProof/>
          <w:lang w:eastAsia="fr-FR"/>
        </w:rPr>
      </w:pPr>
    </w:p>
    <w:p w14:paraId="1E257794" w14:textId="77777777" w:rsidR="00AA224A" w:rsidRDefault="00AA224A" w:rsidP="00B16CA1">
      <w:pPr>
        <w:rPr>
          <w:b/>
          <w:noProof/>
          <w:lang w:eastAsia="fr-FR"/>
        </w:rPr>
      </w:pPr>
    </w:p>
    <w:p w14:paraId="1E691E0B" w14:textId="77777777" w:rsidR="00AA224A" w:rsidRDefault="00AA224A" w:rsidP="00B16CA1">
      <w:pPr>
        <w:rPr>
          <w:b/>
          <w:noProof/>
          <w:lang w:eastAsia="fr-FR"/>
        </w:rPr>
      </w:pPr>
    </w:p>
    <w:p w14:paraId="41B24517" w14:textId="77777777" w:rsidR="00AA224A" w:rsidRDefault="00AA224A" w:rsidP="00B16CA1">
      <w:pPr>
        <w:rPr>
          <w:b/>
          <w:noProof/>
          <w:lang w:eastAsia="fr-FR"/>
        </w:rPr>
      </w:pPr>
    </w:p>
    <w:p w14:paraId="6F116CED" w14:textId="77777777" w:rsidR="00AA224A" w:rsidRDefault="00AA224A" w:rsidP="00B16CA1">
      <w:pPr>
        <w:rPr>
          <w:b/>
          <w:noProof/>
          <w:lang w:eastAsia="fr-FR"/>
        </w:rPr>
      </w:pPr>
    </w:p>
    <w:p w14:paraId="0A8CBDAE" w14:textId="77777777" w:rsidR="00AA224A" w:rsidRDefault="00AA224A" w:rsidP="00B16CA1">
      <w:pPr>
        <w:rPr>
          <w:b/>
          <w:noProof/>
          <w:lang w:eastAsia="fr-FR"/>
        </w:rPr>
      </w:pPr>
    </w:p>
    <w:p w14:paraId="5455802C" w14:textId="77777777" w:rsidR="00AA224A" w:rsidRDefault="00AA224A" w:rsidP="00B16CA1">
      <w:pPr>
        <w:rPr>
          <w:b/>
          <w:noProof/>
          <w:lang w:eastAsia="fr-FR"/>
        </w:rPr>
      </w:pPr>
    </w:p>
    <w:p w14:paraId="6F22E828" w14:textId="77777777" w:rsidR="00AA224A" w:rsidRDefault="00AA224A" w:rsidP="00B16CA1">
      <w:pPr>
        <w:rPr>
          <w:b/>
          <w:noProof/>
          <w:lang w:eastAsia="fr-FR"/>
        </w:rPr>
      </w:pPr>
    </w:p>
    <w:p w14:paraId="44F62090" w14:textId="28EDF935" w:rsidR="007A3282" w:rsidRPr="007A3282" w:rsidRDefault="00AA224A" w:rsidP="00B16CA1">
      <w:pPr>
        <w:rPr>
          <w:b/>
          <w:noProof/>
          <w:lang w:eastAsia="fr-FR"/>
        </w:rPr>
      </w:pPr>
      <w:r>
        <w:rPr>
          <w:b/>
          <w:noProof/>
          <w:lang w:eastAsia="fr-FR"/>
        </w:rPr>
        <w:lastRenderedPageBreak/>
        <w:t>B</w:t>
      </w:r>
    </w:p>
    <w:p w14:paraId="4B3E1D11" w14:textId="77777777" w:rsidR="007A3282" w:rsidRDefault="007A3282" w:rsidP="00B16CA1">
      <w:pPr>
        <w:rPr>
          <w:b/>
          <w:noProof/>
          <w:lang w:eastAsia="fr-FR"/>
        </w:rPr>
      </w:pPr>
    </w:p>
    <w:p w14:paraId="2427DD18" w14:textId="1BFACFF9" w:rsidR="00FE669E" w:rsidRDefault="00FE669E" w:rsidP="00B16CA1">
      <w:pPr>
        <w:rPr>
          <w:b/>
          <w:lang w:val="en-GB"/>
        </w:rPr>
      </w:pPr>
      <w:r>
        <w:rPr>
          <w:b/>
          <w:noProof/>
        </w:rPr>
        <w:drawing>
          <wp:inline distT="0" distB="0" distL="0" distR="0" wp14:anchorId="11611DF5" wp14:editId="55C6FF2B">
            <wp:extent cx="5759450" cy="5650865"/>
            <wp:effectExtent l="0" t="0" r="0" b="698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MapCD4_11 mirs.png"/>
                    <pic:cNvPicPr/>
                  </pic:nvPicPr>
                  <pic:blipFill>
                    <a:blip r:embed="rId13">
                      <a:extLst>
                        <a:ext uri="{28A0092B-C50C-407E-A947-70E740481C1C}">
                          <a14:useLocalDpi xmlns:a14="http://schemas.microsoft.com/office/drawing/2010/main" val="0"/>
                        </a:ext>
                      </a:extLst>
                    </a:blip>
                    <a:stretch>
                      <a:fillRect/>
                    </a:stretch>
                  </pic:blipFill>
                  <pic:spPr>
                    <a:xfrm>
                      <a:off x="0" y="0"/>
                      <a:ext cx="5759450" cy="5650865"/>
                    </a:xfrm>
                    <a:prstGeom prst="rect">
                      <a:avLst/>
                    </a:prstGeom>
                  </pic:spPr>
                </pic:pic>
              </a:graphicData>
            </a:graphic>
          </wp:inline>
        </w:drawing>
      </w:r>
    </w:p>
    <w:p w14:paraId="4C7E2C89" w14:textId="77777777" w:rsidR="007A3282" w:rsidRDefault="007A3282" w:rsidP="00B16CA1">
      <w:pPr>
        <w:rPr>
          <w:b/>
          <w:lang w:val="en-GB"/>
        </w:rPr>
      </w:pPr>
    </w:p>
    <w:p w14:paraId="1F7F6C26" w14:textId="77777777" w:rsidR="007A3282" w:rsidRDefault="007A3282" w:rsidP="00B16CA1">
      <w:pPr>
        <w:rPr>
          <w:b/>
          <w:lang w:val="en-GB"/>
        </w:rPr>
      </w:pPr>
    </w:p>
    <w:p w14:paraId="7664A240" w14:textId="0DB17726" w:rsidR="007A3282" w:rsidRDefault="007A3282">
      <w:pPr>
        <w:rPr>
          <w:b/>
          <w:lang w:val="en-GB"/>
        </w:rPr>
      </w:pPr>
      <w:r>
        <w:rPr>
          <w:b/>
          <w:lang w:val="en-GB"/>
        </w:rPr>
        <w:br w:type="page"/>
      </w:r>
    </w:p>
    <w:p w14:paraId="2A329A3A" w14:textId="02ECFF29" w:rsidR="00C76227" w:rsidRPr="00C4312C" w:rsidRDefault="00F023DC" w:rsidP="00B16CA1">
      <w:pPr>
        <w:rPr>
          <w:lang w:val="en-GB"/>
        </w:rPr>
      </w:pPr>
      <w:r>
        <w:rPr>
          <w:b/>
          <w:lang w:val="en-GB"/>
        </w:rPr>
        <w:lastRenderedPageBreak/>
        <w:t>F</w:t>
      </w:r>
      <w:r w:rsidR="00C76227">
        <w:rPr>
          <w:b/>
          <w:lang w:val="en-GB"/>
        </w:rPr>
        <w:t xml:space="preserve">igure </w:t>
      </w:r>
      <w:proofErr w:type="spellStart"/>
      <w:r w:rsidR="00A30FD9">
        <w:rPr>
          <w:b/>
          <w:lang w:val="en-GB"/>
        </w:rPr>
        <w:t>S</w:t>
      </w:r>
      <w:r w:rsidR="00C76227">
        <w:rPr>
          <w:b/>
          <w:lang w:val="en-GB"/>
        </w:rPr>
        <w:t>3</w:t>
      </w:r>
      <w:proofErr w:type="spellEnd"/>
      <w:r w:rsidR="00C76227">
        <w:rPr>
          <w:b/>
          <w:lang w:val="en-GB"/>
        </w:rPr>
        <w:t>: Flow c</w:t>
      </w:r>
      <w:r w:rsidR="007A3282">
        <w:rPr>
          <w:b/>
          <w:lang w:val="en-GB"/>
        </w:rPr>
        <w:t xml:space="preserve">hart </w:t>
      </w:r>
      <w:r w:rsidR="00301EAC">
        <w:rPr>
          <w:b/>
          <w:lang w:val="en-GB"/>
        </w:rPr>
        <w:t xml:space="preserve">for the selection of </w:t>
      </w:r>
      <w:r w:rsidR="007A3282">
        <w:rPr>
          <w:b/>
          <w:lang w:val="en-GB"/>
        </w:rPr>
        <w:t xml:space="preserve">published study for the </w:t>
      </w:r>
      <w:r w:rsidR="006F4029">
        <w:rPr>
          <w:b/>
          <w:lang w:val="en-GB"/>
        </w:rPr>
        <w:t>comparison</w:t>
      </w:r>
      <w:r w:rsidR="007A3282">
        <w:rPr>
          <w:b/>
          <w:lang w:val="en-GB"/>
        </w:rPr>
        <w:t xml:space="preserve"> analysis.</w:t>
      </w:r>
      <w:r w:rsidR="00C4312C">
        <w:rPr>
          <w:b/>
          <w:lang w:val="en-GB"/>
        </w:rPr>
        <w:t xml:space="preserve"> </w:t>
      </w:r>
      <w:r w:rsidR="00C4312C">
        <w:rPr>
          <w:lang w:val="en-GB"/>
        </w:rPr>
        <w:t>Sixteen studies</w:t>
      </w:r>
      <w:r w:rsidR="00C4312C" w:rsidRPr="00C4312C">
        <w:rPr>
          <w:lang w:val="en-GB"/>
        </w:rPr>
        <w:t xml:space="preserve"> were </w:t>
      </w:r>
      <w:r w:rsidR="00B5385D">
        <w:rPr>
          <w:lang w:val="en-GB"/>
        </w:rPr>
        <w:t>retained and</w:t>
      </w:r>
      <w:r w:rsidR="00C4312C" w:rsidRPr="00C4312C">
        <w:rPr>
          <w:lang w:val="en-GB"/>
        </w:rPr>
        <w:t xml:space="preserve"> </w:t>
      </w:r>
      <w:r w:rsidR="00C4312C">
        <w:rPr>
          <w:lang w:val="en-GB"/>
        </w:rPr>
        <w:t>compared to</w:t>
      </w:r>
      <w:r w:rsidR="00B5385D">
        <w:rPr>
          <w:lang w:val="en-GB"/>
        </w:rPr>
        <w:t xml:space="preserve"> the</w:t>
      </w:r>
      <w:r w:rsidR="00C4312C">
        <w:rPr>
          <w:lang w:val="en-GB"/>
        </w:rPr>
        <w:t xml:space="preserve"> results</w:t>
      </w:r>
      <w:r w:rsidR="00B5385D">
        <w:rPr>
          <w:lang w:val="en-GB"/>
        </w:rPr>
        <w:t xml:space="preserve"> of the presented study</w:t>
      </w:r>
      <w:r w:rsidR="00C4312C" w:rsidRPr="00C4312C">
        <w:rPr>
          <w:lang w:val="en-GB"/>
        </w:rPr>
        <w:t>.</w:t>
      </w:r>
    </w:p>
    <w:p w14:paraId="1A9E3824" w14:textId="77777777" w:rsidR="00C76227" w:rsidRDefault="00C76227" w:rsidP="00B16CA1">
      <w:pPr>
        <w:rPr>
          <w:b/>
          <w:lang w:val="en-GB"/>
        </w:rPr>
      </w:pPr>
    </w:p>
    <w:p w14:paraId="42DC83BC" w14:textId="77777777" w:rsidR="00C76227" w:rsidRDefault="00C76227" w:rsidP="00B16CA1">
      <w:pPr>
        <w:rPr>
          <w:b/>
          <w:lang w:val="en-GB"/>
        </w:rPr>
      </w:pPr>
    </w:p>
    <w:p w14:paraId="6C34B70E" w14:textId="72536B13" w:rsidR="007A3282" w:rsidRDefault="00C76227" w:rsidP="00B16CA1">
      <w:pPr>
        <w:rPr>
          <w:b/>
          <w:noProof/>
          <w:lang w:eastAsia="fr-FR"/>
        </w:rPr>
      </w:pPr>
      <w:r w:rsidRPr="00C76227">
        <w:rPr>
          <w:b/>
          <w:noProof/>
          <w:lang w:eastAsia="fr-FR"/>
        </w:rPr>
        <w:t xml:space="preserve"> </w:t>
      </w:r>
      <w:r>
        <w:rPr>
          <w:b/>
          <w:noProof/>
        </w:rPr>
        <w:drawing>
          <wp:inline distT="0" distB="0" distL="0" distR="0" wp14:anchorId="3FEBD247" wp14:editId="54EEB905">
            <wp:extent cx="4222627" cy="3607617"/>
            <wp:effectExtent l="0" t="0" r="698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25645" cy="3610195"/>
                    </a:xfrm>
                    <a:prstGeom prst="rect">
                      <a:avLst/>
                    </a:prstGeom>
                    <a:noFill/>
                  </pic:spPr>
                </pic:pic>
              </a:graphicData>
            </a:graphic>
          </wp:inline>
        </w:drawing>
      </w:r>
    </w:p>
    <w:p w14:paraId="5449F2C6" w14:textId="77777777" w:rsidR="00E45FC2" w:rsidRDefault="00E45FC2" w:rsidP="00B16CA1">
      <w:pPr>
        <w:rPr>
          <w:b/>
          <w:noProof/>
          <w:lang w:eastAsia="fr-FR"/>
        </w:rPr>
      </w:pPr>
    </w:p>
    <w:p w14:paraId="33F38482" w14:textId="202F2E78" w:rsidR="00E45FC2" w:rsidRDefault="00E45FC2">
      <w:pPr>
        <w:rPr>
          <w:b/>
          <w:noProof/>
          <w:lang w:eastAsia="fr-FR"/>
        </w:rPr>
      </w:pPr>
      <w:r>
        <w:rPr>
          <w:b/>
          <w:noProof/>
          <w:lang w:eastAsia="fr-FR"/>
        </w:rPr>
        <w:br w:type="page"/>
      </w:r>
    </w:p>
    <w:p w14:paraId="4D1670C2" w14:textId="42F03676" w:rsidR="00E45FC2" w:rsidRDefault="00E45FC2" w:rsidP="00B16CA1">
      <w:pPr>
        <w:rPr>
          <w:b/>
          <w:lang w:val="en-GB"/>
        </w:rPr>
      </w:pPr>
      <w:r>
        <w:rPr>
          <w:b/>
          <w:lang w:val="en-GB"/>
        </w:rPr>
        <w:lastRenderedPageBreak/>
        <w:t xml:space="preserve"> figure </w:t>
      </w:r>
      <w:r w:rsidR="00A30FD9">
        <w:rPr>
          <w:b/>
          <w:lang w:val="en-GB"/>
        </w:rPr>
        <w:t>S</w:t>
      </w:r>
      <w:bookmarkStart w:id="0" w:name="_GoBack"/>
      <w:bookmarkEnd w:id="0"/>
      <w:r>
        <w:rPr>
          <w:b/>
          <w:lang w:val="en-GB"/>
        </w:rPr>
        <w:t xml:space="preserve">4: </w:t>
      </w:r>
      <w:r w:rsidR="00957A76">
        <w:rPr>
          <w:b/>
          <w:lang w:val="en-GB"/>
        </w:rPr>
        <w:t>C</w:t>
      </w:r>
      <w:r>
        <w:rPr>
          <w:b/>
          <w:lang w:val="en-GB"/>
        </w:rPr>
        <w:t xml:space="preserve">luster analysis of differentially expressed </w:t>
      </w:r>
      <w:proofErr w:type="spellStart"/>
      <w:r>
        <w:rPr>
          <w:b/>
          <w:lang w:val="en-GB"/>
        </w:rPr>
        <w:t>miRs</w:t>
      </w:r>
      <w:proofErr w:type="spellEnd"/>
      <w:r>
        <w:rPr>
          <w:b/>
          <w:lang w:val="en-GB"/>
        </w:rPr>
        <w:t xml:space="preserve"> in published studies from literature</w:t>
      </w:r>
      <w:r w:rsidR="00A070E2">
        <w:rPr>
          <w:b/>
          <w:lang w:val="en-GB"/>
        </w:rPr>
        <w:t xml:space="preserve"> </w:t>
      </w:r>
      <w:r w:rsidR="00FC2EA3">
        <w:rPr>
          <w:b/>
          <w:lang w:val="en-GB"/>
        </w:rPr>
        <w:fldChar w:fldCharType="begin"/>
      </w:r>
      <w:r w:rsidR="00C1286F">
        <w:rPr>
          <w:b/>
          <w:lang w:val="en-GB"/>
        </w:rPr>
        <w:instrText xml:space="preserve"> ADDIN ZOTERO_ITEM CSL_CITATION {"citationID":"5KpMm9Xx","properties":{"unsorted":true,"formattedCitation":"[4\\uc0\\u8211{}19]","plainCitation":"[4–19]","noteIndex":0},"citationItems":[{"id":71,"uris":["http://zotero.org/users/local/kXGSmZCI/items/SFMZ9PYL"],"uri":["http://zotero.org/users/local/kXGSmZCI/items/SFMZ9PYL"],"itemData":{"id":71,"type":"article-journal","title":"Association between circulating miRNAs and spinal involvement in patients with axial spondyloarthritis","container-title":"PloS One","page":"e0185323","volume":"12","issue":"9","source":"PubMed","abstract":"OBJECTIVES: Dysregulation of miRNAs and their target genes contributes to the pathophysiology of autoimmune diseases. Circulating miRNAs may serve as diagnostic/prognostic biomarkers. We aimed to investigate the association between circulating miRNAs, disease activity and spinal involvement in patients with axial spondyloarthritis (AxSpA).\nMETHODS: Total RNA was isolated from the plasma of patients with non-radiographic (nr)AxSpA, patients with ankylosing spondylitis (AS) and healthy controls (HC) via phenol-chloroform extraction. A total of 760 miRNAs were analysed with TaqMan® Low Density Arrays, and the expression of 21 miRNAs was assessed using single assays.\nRESULTS: Comprehensive analysis demonstrated the differential expression of miRNAs among patients with progressive spinal disease. Of the 21 miRNAs selected according to their expression patterns, the levels of miR-625-3p were significantly different between nr-AxSpA patients and HCs. We found no correlation between miRNA levels and Bath Ankylosing Spondylitis Disease Activity Index (BASDAI) in nr-AxSpA patients. Selected miRNAs, such as miR-29a-3p, miR-146a-5p or miR-222-3p with an established role in extracellular matrix formation and inflammation were associated with spinal changes and/or disease activity assessed by BASDAI in AS patients, including miR-625-3p reflecting disease activity in AS with spinal involvement.\nCONCLUSIONS: Our data indicate that circulating miRNAs play a role in the pathogenesis of AxSpA and are also suggestive of their potential as biomarkers of disease progression. We hypothesize that differential systemic levels of miRNA expression reflect miRNA dysregulation at sites of spinal inflammation or bone formation where these molecules contribute to the development of pathophysiological features typical of AxSpA.","DOI":"10.1371/journal.pone.0185323","ISSN":"1932-6203","note":"PMID: 28938006\nPMCID: PMC5609864","journalAbbreviation":"PLoS ONE","language":"eng","author":[{"family":"Prajzlerová","given":"Klára"},{"family":"Grobelná","given":"Kristýna"},{"family":"Hušáková","given":"Markéta"},{"family":"Forejtová","given":"Šárka"},{"family":"Jüngel","given":"Astrid"},{"family":"Gay","given":"Steffen"},{"family":"Vencovský","given":"Jiří"},{"family":"Pavelka","given":"Karel"},{"family":"Šenolt","given":"Ladislav"},{"family":"Filková","given":"Mária"}],"issued":{"date-parts":[["2017"]]}}},{"id":73,"uris":["http://zotero.org/users/local/kXGSmZCI/items/GC6AQ5JM"],"uri":["http://zotero.org/users/local/kXGSmZCI/items/GC6AQ5JM"],"itemData":{"id":73,"type":"article-journal","title":"MicroRNA-146a knockdown suppresses the progression of ankylosing spondylitis by targeting dickkopf 1","container-title":"Biomedicine &amp; Pharmacotherapy = Biomedecine &amp; Pharmacotherapie","page":"1243-1249","volume":"97","source":"PubMed","abstract":"Ankylosing spondylitis (AS) seriously threatens healthy and life quality of patients, however, there is no extremely effective drug to cure the disease. Therefore, it is urgent to understand molecular basis in the progression of AS. MicroRNA-146a (miR-146a) has been demonstrated to be associated with the development of AS. However, its molecular mechanism has not been fully established. In this study, it is found that the expression levels of miR-146a and dickkopf 1 (DKK1) were respectively upregulated and downregulated in hip capsule tissues of AS patients. Moreover, a negative correlation was displayed between miR-146a and DKK1 expression. Functional analysis revealed that miR-146a inhibitor restrained cell proliferation and osteogenic potential as well as enhanced apoptosis in AS fibroblasts, while miR-146a overexpression enhanced proliferation and osteogenic potential of AS fibroblasts. Bioinformatics analysis, dual luciferase reporter assays, qRT-PCR and immunoblotting assays revealed that miR-146a inhibited DKK1 expression by directly targeting 3'UTR region of DKK1. Mechanism studies further revealed that loss of DKK1 partly reversed the effect of miR-146a inhibitor on cell proliferation, apoptosis and osteogenic potential in AS fibroblasts. Taken together, our finding revealed that miR-146a knockdown hindered AS progression partially by regulating target DKK1 expression, offering a potential therapy application for AS patients.","DOI":"10.1016/j.biopha.2017.11.067","ISSN":"1950-6007","note":"PMID: 29145150","journalAbbreviation":"Biomed. Pharmacother.","language":"eng","author":[{"family":"Di","given":"Guijuan"},{"family":"Kong","given":"Lingli"},{"family":"Zhao","given":"Qing"},{"family":"Ding","given":"Tao"}],"issued":{"date-parts":[["2018",1]]}}},{"id":74,"uris":["http://zotero.org/users/local/kXGSmZCI/items/BVWPNZV5"],"uri":["http://zotero.org/users/local/kXGSmZCI/items/BVWPNZV5"],"itemData":{"id":74,"type":"article-journal","title":"Identification of plasma microRNA expression profile in radiographic axial spondyloarthritis-a pilot study","container-title":"Clinical Rheumatology","page":"1323-1327","volume":"35","issue":"5","source":"PubMed","abstract":"At present, there are no studies that have established a microRNA (miRNA)-based signature profile in patients with radiographic axial spondyloarthritis (rad-axial SpA), and we hypothesized that these patients may have aberrantly expressed circulating miRNAs reflective of underlying disease and inflammation. This study aims to determine the expression profile of miRNAs in plasma of patients with rad-axial SpA and compare it with healthy, age, and sex-matched controls. Fifteen subjects with rad-axial SpA based on ASAS classification criteria and 5 controls were recruited from our local SpA registry. Demographic data were collected and disease activity was measured using Bath Ankylosing Spondylitis Disease Activity Index (BASDI). Peripheral blood samples (5 ml) were obtained from eligible consenting patients and controls. RNA from the plasma was prepared using miRNeasy kit (Qiagen) by a modified protocol. Expression of 175 miRNAs was screened in the plasma of all 15 patients and 5 controls using serum/plasma miRNA PCR arrays (Exiqon Inc. Woburn, MA) essentially following the manufacturer's instructions. Real-time PCR was carried out on StepOne Plus (Applied Biosystems) and the data was extracted and analyzed using ExiGen Enterprise software (MultiD, Göteborg, Sweden). Potential miRNA targets were identified using bioinformatics. ESR and CRP levels were measured by standard laboratory methods. We identified 7 differentially expressed miRNAs (2 upregulated and 5 downregulated). miR-34a, which was overexpressed in patients with rad-axial SpA, was predicted to target BMP-3 mRNA by TargetscanS and PicTar miRNA target algorithms. miR-150 was downregulated in all of the samples analyzed by us using the TaqMan Gene Expression assay. The most repressed miRNA was miR-16 and is predicted to regulate the expression of activin A receptor (ACVR2B), a receptor for growth, and differentiation factor-5 (GDF-5). Our data indicates that (1) patients with axial SpA, as compared to controls, have dysregulated expression of selected miRNAs in the plasma; and (2) the differentially expressed miRNAs are predicted to target genes that play a role in bone morphogenesis, growth, and immune response.","DOI":"10.1007/s10067-015-3123-7","ISSN":"1434-9949","note":"PMID: 26689798\nPMCID: PMC4941784","journalAbbreviation":"Clin. Rheumatol.","language":"eng","author":[{"family":"Magrey","given":"Marina N."},{"family":"Haqqi","given":"Tariq"},{"family":"Haseeb","given":"Abdul"}],"issued":{"date-parts":[["2016",5]]}}},{"id":69,"uris":["http://zotero.org/users/local/kXGSmZCI/items/HL5VEDHS"],"uri":["http://zotero.org/users/local/kXGSmZCI/items/HL5VEDHS"],"itemData":{"id":69,"type":"article-journal","title":"MicroRNA-199a-5p Induced Autophagy and Inhibits the Pathogenesis of Ankylosing Spondylitis by Modulating the mTOR Signaling via Directly Targeting Ras Homolog Enriched in Brain (Rheb)","container-title":"Cellular Physiology and Biochemistry: International Journal of Experimental Cellular Physiology, Biochemistry, and Pharmacology","page":"2481-2491","volume":"42","issue":"6","source":"PubMed","abstract":"BACKGROUND/AIMS: Ankylosing spondylitis (AS) is an inflammatory and immune disease leading to disability. Autophagy has been identified as a potential player in understanding the pathogenesis of AS.\nMETHODS: MiRNA-199a-5p and autophagy-related gene expression were determined by qRT-PCR or Western blot. Cytokine production was determined using ELISA assays. Proliferation was determined by MTT assay. MiRNA-199a-5p and Ras homolog enriched in brain (Rheb) were upregulated or downregulated by overexpression of plasmid or siRNA transfection.\nRESULTS: Expression of miRNA-199a-5p, and autophagy-related genes LC3, beclin1, and ATG5 was significantly decreased in T cells of AS patients. Serum concentrations of TNF-α, IL-17, and IL-23 were promoted in AS patients, compared to healthy controls. MiRNA-199a-5p expression levels also showed significant negative correlations with the Ankylosing Spondylitis Disease Activity Score (ASDAS) and modified Stoke Ankylosing Spon dylitis Spinal Score (mSASSS) of AS patients. In Jurkat T cells and T cells isolated from AS patients, miRNA-199a-5p overexpression promoted autophagy-related genes expression and decreased TNF-α, IL-17, and IL-23 levels, whereas inhibition of miRNA-199a-5p attenuated these effects. As a direct target of miRNA-199a-5p, Rheb inhibition led to a striking decrease in the phosphorylation of the mechanistic target of rapamycin (mTOR) and induced autophagy. Moreover, pcDNA3.1-Rheb effectively reduced the inhibiting effects of mTOR signaling caused by miRNA-199a-5p overexpression. All effects were offset by pretreating with rapamycin (an mTOR antagonist).\nCONCLUSIONS: AS patients with advanced spinal damage had decreased autophagy levels and that miRNA-199a-5p may induce autophagy and inhibit the pathogenesis of AS by modulating the mTOR signaling via direct targeting Rheb.","DOI":"10.1159/000480211","ISSN":"1421-9778","note":"PMID: 28848090","journalAbbreviation":"Cell. Physiol. Biochem.","language":"eng","author":[{"family":"Wang","given":"Yahan"},{"family":"Luo","given":"Jianping"},{"family":"Wang","given":"Xiaogang"},{"family":"Yang","given":"Bin"},{"family":"Cui","given":"Liyang"}],"issued":{"date-parts":[["2017"]]}}},{"id":31,"uris":["http://zotero.org/users/local/kXGSmZCI/items/BETACZVW"],"uri":["http://zotero.org/users/local/kXGSmZCI/items/BETACZVW"],"itemData":{"id":31,"type":"article-journal","title":"miR-10b-5p is a novel Th17 regulator present in Th17 cells from ankylosing spondylitis","container-title":"Annals of the Rheumatic Diseases","page":"620-625","volume":"76","issue":"3","source":"PubMed","abstract":"OBJECTIVE: To determine the microRNA (miR) signature in ankylosing spondylitis (AS) T helper (Th)17 cells.\nMETHODS: Interleukin (IL)-17A-producing CD4+ T cells from patients with AS and healthy controls were FACS-sorted for miR sequencing and qPCR validation. miR-10b function was determined by miR mimic expression followed by cytokine measurement, transcriptome analysis, qPCR and luciferase assays.\nRESULTS: AS Th17 cells exhibited a miR signature characterised by upregulation of miR-155-5p, miR-210-3p and miR-10b. miR-10b has not been described previously in Th17 cells and was selected for further characterisation. miR-10b is transiently induced in in vitro differentiated Th17 cells. Transcriptome, qPCR and luciferase assays suggest that MAP3K7 is targeted by miR-10b. Both miR-10b overexpression and MAP3K7 silencing inhibited production of IL-17A by both total CD4 and differentiating Th17 cells.\nCONCLUSIONS: AS Th17 cells have a specific miR signature and upregulate miR-10b in vitro. Our data suggest that miR-10b is upregulated by proinflammatory cytokines and may act as a feedback loop to suppress IL-17A by targeting MAP3K7. miR-10b is a potential therapeutic candidate to suppress pathogenic Th17 cell function in patients with AS.","DOI":"10.1136/annrheumdis-2016-210175","ISSN":"1468-2060","note":"PMID: 28039186","journalAbbreviation":"Ann. Rheum. Dis.","language":"eng","author":[{"family":"Chen","given":"L."},{"family":"Al-Mossawi","given":"M. H."},{"family":"Ridley","given":"A."},{"family":"Sekine","given":"T."},{"family":"Hammitzsch","given":"A."},{"family":"Wit","given":"J.","non-dropping-particle":"de"},{"family":"Simone","given":"D."},{"family":"Shi","given":"H."},{"family":"Penkava","given":"F."},{"family":"Kurowska-Stolarska","given":"M."},{"family":"Pulyakhina","given":"I."},{"family":"Knight","given":"J. C."},{"family":"Kim","given":"T. J."},{"family":"Bowness","given":"P."}],"issued":{"date-parts":[["2017",3]]}}},{"id":32,"uris":["http://zotero.org/users/local/kXGSmZCI/items/88F5R6FV"],"uri":["http://zotero.org/users/local/kXGSmZCI/items/88F5R6FV"],"itemData":{"id":32,"type":"article-journal","title":"Aberrant expression of microRNAs in T cells from patients with ankylosing spondylitis contributes to the immunopathogenesis","container-title":"Clinical and Experimental Immunology","page":"47-57","volume":"173","issue":"1","source":"PubMed","abstract":"Ankylosing spondylitis (AS) is a chronic inflammatory disorder characterized by dysregulated T cells. We hypothesized that the aberrant expression of microRNAs (miRNAs) in AS T cells involved in the pathogenesis of AS. The expression profile of 270 miRNAs in T cells from five AS patients and five healthy controls were analysed by real-time polymerase chain reaction (PCR). Thirteen miRNAs were found potentially differential expression. After validation, we confirmed that miR-16, miR-221 and let-7i were over-expressed in AS T cells and the expression of miR-221 and let-7i were correlated positively with the Bath Ankylosing Spondylitis Radiology Index (BASRI) of lumbar spine in AS patients. The protein molecules regulated by miR-16, miR-221 and let-7i were measured by Western blotting. We found that the protein levels of Toll-like receptor-4 (TLR-4), a target of let-7i, in T cells from AS patients were decreased. In addition, the mRNA expression of interferon (IFN)-γ was elevated in AS T cells. Lipopolysaccharide (LPS), a TLR-4 agonist, inhibited IFN-γ secretion by anti-CD3(+) anti-CD28 antibodies-stimulated normal T cells but not AS T cells. In the transfection studies, we found the increased expression of let-7i enhanced IFN-γ production by anti-CD3(+) anti-CD28(+) lipopolysaccharide (LPS)-stimulated normal T cells. In contrast, the decreased expression of let-7i suppressed IFN-γ production by anti-CD3(+) anti-CD28(+) LPS-stimulated AS T cells. In conclusion, we found that miR-16, miR-221 and let-7i were over-expressed in AS T cells, but only miR-221 and let-7i were associated with BASRI of lumbar spine. In the functional studies, the increased let-7i expression facilitated the T helper type 1 (IFN-γ) immune response in T cells.","DOI":"10.1111/cei.12089","ISSN":"1365-2249","note":"PMID: 23607629\nPMCID: PMC3694534","journalAbbreviation":"Clin. Exp. Immunol.","language":"eng","author":[{"family":"Lai","given":"N.-S."},{"family":"Yu","given":"H.-C."},{"family":"Chen","given":"H.-C."},{"family":"Yu","given":"C.-L."},{"family":"Huang","given":"H.-B."},{"family":"Lu","given":"M.-C."}],"issued":{"date-parts":[["2013",7]]}}},{"id":67,"uris":["http://zotero.org/users/local/kXGSmZCI/items/SMYX6GL7"],"uri":["http://zotero.org/users/local/kXGSmZCI/items/SMYX6GL7"],"itemData":{"id":67,"type":"article-journal","title":"Micro-Ribonucleic Acid Profiles From Microarray in Ankylosing Spondylitis","container-title":"Archives of Rheumatology","page":"121-126","volume":"31","issue":"2","source":"PubMed","abstract":"Objectives: This study aims to detect candidate micro-ribonucleic acids (miRNAs) from microarray within peripheral blood mononuclear cells and synovial fluid mononuclear cells in patients with ankylosing spondylitis (AS).\nPatients and methods: Samples from three AS patients (3 males, mean age 37.3±2.5 years; range 35 to 40 years) and three healthy controls (3 males, mean age 39.0±2.6 years; range 37 to 42 years) were obtained for miRNA microarray. The microarray experiment proceeded only when the quality of total RNAs were considered to have \"passed\", and their integrity was good by total RNA quality control using Agilent Bioanalyzer 2100. Hierarchical clustering was performed to understand the impact of the storage condition on the miRNA expression profiles. MiScript primer assays were used for semiquantitative determination of the expression of human miRNAs to validate results from miRNA microarray.\nResults: A total of 887 miRNAs were screened by microarray among groups. After normalization of the raw data, we noted that the expression of five miRNAs was significantly lower (fold change ≤0.5 and p≤0.05) and only hsa-miR-424-5p was significantly higher in AS peripheral blood mononuclear cell (fold change ≥2 and p≤0.05). In AS synovial fluid mononuclear cells, we identified that expressions of 16 miRNAs were significantly down regulated whereas only hsa-miR-424-5p was significantly upregulated (fold change ≥2 and p≤0.05). All above-mentioned miRNAs were reevaluated for further validation. Finally, significantly increased hsa-miR-424-5p and decreased hsa-miR-377 were found in synovial fluid mononuclear cells from AS patients compared with healthy controls. Based on target prediction programs and published papers, potential target genes and its pathways were screened.\nConclusion: miR-424-5p was increased and miR-377 was decreased in synovial fluid mononuclear cells from patients with AS. These two miRs might have functional roles in patients with arthritis via different pathways.","DOI":"10.5606/ArchRheumatol.2016.5733","ISSN":"2148-5046","note":"PMID: 29900950\nPMCID: PMC5827826","journalAbbreviation":"Arch Rheumatol","language":"eng","author":[{"family":"Jin","given":"Hye-Mi"},{"family":"Cho","given":"Young-Nan"},{"family":"Kee","given":"Seung-Jung"},{"family":"Lee","given":"Shin-Seok"},{"family":"Park","given":"Yong-Wook"},{"family":"Kim","given":"Tae-Jong"}],"issued":{"date-parts":[["2016",6]]}}},{"id":70,"uris":["http://zotero.org/users/local/kXGSmZCI/items/5D592LAB"],"uri":["http://zotero.org/users/local/kXGSmZCI/items/5D592LAB"],"itemData":{"id":70,"type":"article-journal","title":"Overexpression of miR-31 in Peripheral Blood Mononuclear Cells (PBMC) from Patients with Ankylosing Spondylitis","container-title":"Medical Science Monitor: International Medical Journal of Experimental and Clinical Research","page":"5488-5494","volume":"23","source":"PubMed","abstract":"BACKGROUND miRNAs play vital roles in regulating immunologic functions and autoimmunity. However, the levels of miR-31, miR-155, miR-16, and miR-181a have not been explored in AS, but were verified to play vital roles in other immunological diseases. The aim of our study was to examine whether the expressions of miR-31, miR-155, miR-16, and miR-181a are abnormal in AS. MATERIAL AND METHODS Real-time transcription-polymerase chain reaction analysis (RT-PCR) was used to determine the expression of miR-31, miR-155, miR-16, and miR-181a in peripheral blood mononuclear cells (PBMC) from 40 patients with AS and 40 healthy controls. RESULTS The expression of miR-31 was increased in AS patients compared with healthy controls (p=0.001). Furthermore, we detected no significant differences in the expressions of miR-155, miR-16, and miR-181a between AS patients and healthy controls. However, the expression levels of the 4 miRNAs were all significantly different between less active AS and more active AS, with higher levels in more active AS. Moreover, no significant correlations were found between the 4 miRNAs levels with the clinical characteristics in the patients with AS. Interestingly, the expression levels of miR-31, miR-155, and miR-16 in PBMCs were significantly positively correlated with the ESR in new AS patients but not old AS patients. CONCLUSIONS Our results suggest that miR-31 is overexpressed in PBMCs of AS patients. Furthermore, miR-31, miR-155, miR-16 and miR-181a may be associated with AS disease activity.","ISSN":"1643-3750","note":"PMID: 29150993\nPMCID: PMC5703016","journalAbbreviation":"Med. Sci. Monit.","language":"eng","author":[{"family":"Wang","given":"Mengmeng"},{"family":"Wang","given":"Li"},{"family":"Zhang","given":"Xu"},{"family":"Yang","given":"Xiao"},{"family":"Li","given":"Xiaona"},{"family":"Xia","given":"Qing"},{"family":"Chen","given":"Mengya"},{"family":"Han","given":"Renfang"},{"family":"Liu","given":"Rui"},{"family":"Xu","given":"Shengqian"},{"family":"Pan","given":"Faming"}],"issued":{"date-parts":[["2017",11,18]]}}},{"id":76,"uris":["http://zotero.org/users/local/kXGSmZCI/items/TGA4BIS2"],"uri":["http://zotero.org/users/local/kXGSmZCI/items/TGA4BIS2"],"itemData":{"id":76,"type":"article-journal","title":"MicroRNA-124 involves in ankylosing spondylitis by targeting ANTXR2","container-title":"Modern Rheumatology","page":"784-789","volume":"25","issue":"5","source":"PubMed","abstract":"OBJECTIVES: A recent genome-wide association study or GWAS identified that anthrax roxin receptor 2 (ANTXR2) was one of the risk loci for ankylosing spondylitis (AS). Previous study also showed that ANTXR2 could potentially affect new bone formation. This study aimed to investigate the possible mechanisms of ANTXR2 involved in AS pathogenesis.\nMETHODS: The expression level of ANTXR2 and miR-124 in peripheral blood was detected by quantitative real-time polymerase chain reaction or qRT-PCR. ANTXR2 was predicted to be a target gene of miR-124 by TargetScan, which was confirmed by luciferase reporter assays. Western blot analysis was used to further investigate the effect of miR-124 on c-Jun N-terminal kinase (JNK) activation and evaluate the activated status of autophagy.\nRESULTS: We evidenced that ANTXR2 was downregulated and miR-124 was upregulated in peripheral blood from AS patients. Intriguingly, miR-124 targeted ANTXR2 and overexpression of miR-124 in Jurkat cells notably inhibited ANTXR2 expression. ANTXR2 inhibition by miR-124 promoted JNK activation and induced autophagy.\nCONCLUSIONS: Our results suggested that miR-124 might induce autophagy to participate in AS by targeting ANTXR2, which might be implicated in pathological process of AS.","DOI":"10.3109/14397595.2015.1023887","ISSN":"1439-7609","note":"PMID: 25736362","journalAbbreviation":"Mod Rheumatol","language":"eng","author":[{"family":"Xia","given":"Yu"},{"family":"Chen","given":"Kun"},{"family":"Zhang","given":"Ming-Hua"},{"family":"Wang","given":"Lai-Cheng"},{"family":"Ma","given":"Chun-Yan"},{"family":"Lin","given":"Yan-Liang"},{"family":"Zhao","given":"Yue-Ran"}],"issued":{"date-parts":[["2015",9]]}}},{"id":28,"uris":["http://zotero.org/users/local/kXGSmZCI/items/QCIK6B3D"],"uri":["http://zotero.org/users/local/kXGSmZCI/items/QCIK6B3D"],"itemData":{"id":28,"type":"article-journal","title":"Role of histone deacetylase 3 in ankylosing spondylitis via negative feedback loop with microRNA-130a and enhancement of tumor necrosis factor-1α expression in peripheral blood mononuclear cells","container-title":"Molecular Medicine Reports","page":"35-40","volume":"13","issue":"1","source":"PubMed","abstract":"The present study was performed to investigate the molecular mechanism of ankylosing spondylitis (AS). The interaction between micro (mi)RNA</w:instrText>
      </w:r>
      <w:r w:rsidR="00C1286F">
        <w:rPr>
          <w:rFonts w:ascii="Cambria Math" w:hAnsi="Cambria Math" w:cs="Cambria Math"/>
          <w:b/>
          <w:lang w:val="en-GB"/>
        </w:rPr>
        <w:instrText>‑</w:instrText>
      </w:r>
      <w:r w:rsidR="00C1286F">
        <w:rPr>
          <w:b/>
          <w:lang w:val="en-GB"/>
        </w:rPr>
        <w:instrText>130a and its target tumor necrosis factor (TNF)</w:instrText>
      </w:r>
      <w:r w:rsidR="00C1286F">
        <w:rPr>
          <w:rFonts w:ascii="Cambria Math" w:hAnsi="Cambria Math" w:cs="Cambria Math"/>
          <w:b/>
          <w:lang w:val="en-GB"/>
        </w:rPr>
        <w:instrText>‑</w:instrText>
      </w:r>
      <w:r w:rsidR="00C1286F">
        <w:rPr>
          <w:b/>
          <w:lang w:val="en-GB"/>
        </w:rPr>
        <w:instrText>1</w:instrText>
      </w:r>
      <w:r w:rsidR="00C1286F">
        <w:rPr>
          <w:rFonts w:ascii="Calibri" w:hAnsi="Calibri" w:cs="Calibri"/>
          <w:b/>
          <w:lang w:val="en-GB"/>
        </w:rPr>
        <w:instrText>α</w:instrText>
      </w:r>
      <w:r w:rsidR="00C1286F">
        <w:rPr>
          <w:b/>
          <w:lang w:val="en-GB"/>
        </w:rPr>
        <w:instrText xml:space="preserve"> and histone deactylase (HDAC)3 was assessed in peripheral blood mononuclear cells (PBMCs) from AS patients. Increased HDAC3 and decreased miRNA</w:instrText>
      </w:r>
      <w:r w:rsidR="00C1286F">
        <w:rPr>
          <w:rFonts w:ascii="Cambria Math" w:hAnsi="Cambria Math" w:cs="Cambria Math"/>
          <w:b/>
          <w:lang w:val="en-GB"/>
        </w:rPr>
        <w:instrText>‑</w:instrText>
      </w:r>
      <w:r w:rsidR="00C1286F">
        <w:rPr>
          <w:b/>
          <w:lang w:val="en-GB"/>
        </w:rPr>
        <w:instrText>130a levels were observed in PBMCs from AS patients. HDAC3 knockdown or HDAC3 inhibition promoted the expression of miRNA</w:instrText>
      </w:r>
      <w:r w:rsidR="00C1286F">
        <w:rPr>
          <w:rFonts w:ascii="Cambria Math" w:hAnsi="Cambria Math" w:cs="Cambria Math"/>
          <w:b/>
          <w:lang w:val="en-GB"/>
        </w:rPr>
        <w:instrText>‑</w:instrText>
      </w:r>
      <w:r w:rsidR="00C1286F">
        <w:rPr>
          <w:b/>
          <w:lang w:val="en-GB"/>
        </w:rPr>
        <w:instrText>130a, and HDAC3 was recruited to the promoter region of the gene encoding miRNA</w:instrText>
      </w:r>
      <w:r w:rsidR="00C1286F">
        <w:rPr>
          <w:rFonts w:ascii="Cambria Math" w:hAnsi="Cambria Math" w:cs="Cambria Math"/>
          <w:b/>
          <w:lang w:val="en-GB"/>
        </w:rPr>
        <w:instrText>‑</w:instrText>
      </w:r>
      <w:r w:rsidR="00C1286F">
        <w:rPr>
          <w:b/>
          <w:lang w:val="en-GB"/>
        </w:rPr>
        <w:instrText>130a in PBMCs. In addition, miR</w:instrText>
      </w:r>
      <w:r w:rsidR="00C1286F">
        <w:rPr>
          <w:rFonts w:ascii="Cambria Math" w:hAnsi="Cambria Math" w:cs="Cambria Math"/>
          <w:b/>
          <w:lang w:val="en-GB"/>
        </w:rPr>
        <w:instrText>‑</w:instrText>
      </w:r>
      <w:r w:rsidR="00C1286F">
        <w:rPr>
          <w:b/>
          <w:lang w:val="en-GB"/>
        </w:rPr>
        <w:instrText>130a overexpression led to a decrease, whereas miR</w:instrText>
      </w:r>
      <w:r w:rsidR="00C1286F">
        <w:rPr>
          <w:rFonts w:ascii="Cambria Math" w:hAnsi="Cambria Math" w:cs="Cambria Math"/>
          <w:b/>
          <w:lang w:val="en-GB"/>
        </w:rPr>
        <w:instrText>‑</w:instrText>
      </w:r>
      <w:r w:rsidR="00C1286F">
        <w:rPr>
          <w:b/>
          <w:lang w:val="en-GB"/>
        </w:rPr>
        <w:instrText>130a inhibition led to an increase of TNF</w:instrText>
      </w:r>
      <w:r w:rsidR="00C1286F">
        <w:rPr>
          <w:rFonts w:ascii="Cambria Math" w:hAnsi="Cambria Math" w:cs="Cambria Math"/>
          <w:b/>
          <w:lang w:val="en-GB"/>
        </w:rPr>
        <w:instrText>‑</w:instrText>
      </w:r>
      <w:r w:rsidR="00C1286F">
        <w:rPr>
          <w:b/>
          <w:lang w:val="en-GB"/>
        </w:rPr>
        <w:instrText>1</w:instrText>
      </w:r>
      <w:r w:rsidR="00C1286F">
        <w:rPr>
          <w:rFonts w:ascii="Calibri" w:hAnsi="Calibri" w:cs="Calibri"/>
          <w:b/>
          <w:lang w:val="en-GB"/>
        </w:rPr>
        <w:instrText>α</w:instrText>
      </w:r>
      <w:r w:rsidR="00C1286F">
        <w:rPr>
          <w:b/>
          <w:lang w:val="en-GB"/>
        </w:rPr>
        <w:instrText xml:space="preserve"> expression in PBMCs. Furthermore, HDAC3 knockdown or HDAC3 inhibition was associated with simultaneous upregulation of the expression of miR</w:instrText>
      </w:r>
      <w:r w:rsidR="00C1286F">
        <w:rPr>
          <w:rFonts w:ascii="Cambria Math" w:hAnsi="Cambria Math" w:cs="Cambria Math"/>
          <w:b/>
          <w:lang w:val="en-GB"/>
        </w:rPr>
        <w:instrText>‑</w:instrText>
      </w:r>
      <w:r w:rsidR="00C1286F">
        <w:rPr>
          <w:b/>
          <w:lang w:val="en-GB"/>
        </w:rPr>
        <w:instrText>130a and downregulation of the expression of TNF</w:instrText>
      </w:r>
      <w:r w:rsidR="00C1286F">
        <w:rPr>
          <w:rFonts w:ascii="Cambria Math" w:hAnsi="Cambria Math" w:cs="Cambria Math"/>
          <w:b/>
          <w:lang w:val="en-GB"/>
        </w:rPr>
        <w:instrText>‑</w:instrText>
      </w:r>
      <w:r w:rsidR="00C1286F">
        <w:rPr>
          <w:b/>
          <w:lang w:val="en-GB"/>
        </w:rPr>
        <w:instrText>1</w:instrText>
      </w:r>
      <w:r w:rsidR="00C1286F">
        <w:rPr>
          <w:rFonts w:ascii="Calibri" w:hAnsi="Calibri" w:cs="Calibri"/>
          <w:b/>
          <w:lang w:val="en-GB"/>
        </w:rPr>
        <w:instrText>α</w:instrText>
      </w:r>
      <w:r w:rsidR="00C1286F">
        <w:rPr>
          <w:b/>
          <w:lang w:val="en-GB"/>
        </w:rPr>
        <w:instrText xml:space="preserve"> in PBMCs. These results indicated that HDAC3 was involved in the regulation of the underlying molecular mechanism of AS by forming a negative feedback loop with miR-130a and enhancement of TNF-1α expression.","DOI":"10.3892/mmr.2015.4494","ISSN":"1791-3004","note":"PMID: 26531724\nPMCID: PMC4686114","journalAbbreviation":"Mol Med Rep","language":"eng","author":[{"family":"Jiang","given":"Ya"},{"family":"Wang","given":"Lin"}],"issued":{"date-parts":[["2016",1]]}}},{"id":68,"uris":["http://zotero.org/users/local/kXGSmZCI/items/SLAN35EM"],"uri":["http://zotero.org/users/local/kXGSmZCI/items/SLAN35EM"],"itemData":{"id":68,"type":"article-journal","title":"Differentially expressed mRNAs, lncRNAs, and miRNAs with associated co-expression and ceRNA networks in ankylosing spondylitis","container-title":"Oncotarget","page":"113543-113557","volume":"8","issue":"69","source":"PubMed","abstract":"Ankylosing spondylitis (AS) is a chronic autoimmune disease characterized by systemic inflammation and pathological osteogenesis. However, the genetic etiology of AS remains largely unknown. This study aimed to explore the potential role of coding and noncoding genes in the genetic mechanism of AS. Using microarray analyses, this study comprehensively compared lncRNA, microRNA, and mRNA profiles in hip joint ligament tissues from patients with AS and controls. A total of 661 lncRNAs, 574 mRNAs, and 22 microRNAs were differentially expressed in patients with AS compared with controls. Twenty-two of these genes were then validated using real-time polymerase chain reaction. Gene ontology and pathway analyses were performed to explore the principal functions of differentially expressed genes. The pathways were involved mainly in immune regulation, intercellular signaling, osteogenic differentiation, protein synthesis, and degradation. Gene signal transduction network, coding-noncoding co-expression network, and competing endogenous RNA expression network were constructed using bioinformatics methods. Then, two miRNAs, miR-17-5p and miR-27b-3p, that could increase the osteogenic differentiation potentials of ligament fibroblasts were identified. Finally, differentially expressed, five lncRNAs, four miRNAs, and five mRNAs were validated using quantitative real-time polymerase chain reaction. These results suggested that mRNAs, lncRNAs, and microRNAs were involved in AS pathogenesis. The findings might help characterize the pathogenesis of AS and provide novel therapeutic targets for patients with AS in the future.","DOI":"10.18632/oncotarget.22708","ISSN":"1949-2553","note":"PMID: 29371928\nPMCID: PMC5768345","journalAbbreviation":"Oncotarget","language":"eng","author":[{"family":"Zhang","given":"Chen"},{"family":"Wang","given":"Chen"},{"family":"Jia","given":"Zhenyu"},{"family":"Tong","given":"Wenwen"},{"family":"Liu","given":"Delin"},{"family":"He","given":"Chongru"},{"family":"Huang","given":"Xuan"},{"family":"Xu","given":"Weidong"}],"issued":{"date-parts":[["2017",12,26]]}}},{"id":27,"uris":["http://zotero.org/users/local/kXGSmZCI/items/FQJ7XF3H"],"uri":["http://zotero.org/users/local/kXGSmZCI/items/FQJ7XF3H"],"itemData":{"id":27,"type":"article-journal","title":"Higher expression of whole blood microRNA-21 in patients with ankylosing spondylitis associated with programmed cell death 4 mRNA expression and collagen cross-linked C-telopeptide concentration","container-title":"The Journal of Rheumatology","page":"1104-1111","volume":"41","issue":"6","source":"PubMed","abstract":"OBJECTIVE: Bone loss is a recognized feature of ankylosing spondylitis (AS). The binding of microRNA-21 (miR-21) to programmed cell death 4 (PDCD4) could inhibit the expression of PDCD4 and further induce the activation of osteoclasts. In the present study, we compared the difference in miR-21 expression between patients with AS and healthy controls, and evaluated the relationships of miR-21, PDCD4 mRNA, and bone erosion in patients with AS. The influences of nonsteroidal antiinflammatory drugs (NSAID) and disease-modifying antirheumatic drugs (DMARD) on the expressions of miR-21 and PDCD4 mRNA in patients with AS were also assessed.\nMETHODS: Whole blood miR-21 and PDCD4 mRNA expression were evaluated by quantitative real-time PCR among 122 patients with AS and 122 healthy controls. The serum level of collagen cross-linked C-telopeptide (CTX) was measured using ELISA.\nRESULTS: When compared to controls, patients with AS had significantly higher levels of miR-21, PDCD4 mRNA, and CTX. MiR-21 expression was negatively correlated with PDCD4 mRNA expression in patients with AS who were taking neither NSAID nor DMARD. Interestingly, significantly positive correlations between miR-21 expression with PDCD4 mRNA expression (r = 0.33, p = 0.01) and CTX level (r = 0.44, p &lt; 0.01) were observed in patients with AS who were taking sulfasalazine. Positive correlations of miR-21 and CTX level were also observed in AS patients with disease duration &lt; 7.0 years (r = 0.36, p = 0.004) and active disease (r = 0.42, p = 0.001).\nCONCLUSION: The expression of miR-21 might have a role in the development of AS.","DOI":"10.3899/jrheum.130515","ISSN":"0315-162X","note":"PMID: 24786924","journalAbbreviation":"J. Rheumatol.","language":"eng","author":[{"family":"Huang","given":"Chun-Huang"},{"family":"Wei","given":"James Cheng-Chung"},{"family":"Chang","given":"Wei-Chiao"},{"family":"Chiou","given":"Shang-Yan"},{"family":"Chou","given":"Chia-Hsuan"},{"family":"Lin","given":"Yu-Jie"},{"family":"Hung","given":"Pei-Hsuan"},{"family":"Wong","given":"Ruey-Hong"}],"issued":{"date-parts":[["2014",6]]}}},{"id":72,"uris":["http://zotero.org/users/local/kXGSmZCI/items/LH8GLRGQ"],"uri":["http://zotero.org/users/local/kXGSmZCI/items/LH8GLRGQ"],"itemData":{"id":72,"type":"article-journal","title":"Correlation of the expression of miR-146a in peripheral blood mononuclear cells of patients with ankylosing spondylitis and inflammatory factors","container-title":"Experimental and Therapeutic Medicine","page":"5027-5031","volume":"14","issue":"5","source":"PubMed","abstract":"We investigated the expression of miR-146a in peripheral blood mononuclear cell (PBMC) of patients with ankylosing spondylitis (AS) and its correlation with inflammatory factors to explore the clinical significance. In total 45 patients with AS were selected at the Weifang People's Hospital from June, 2014 to January, 2016. At the same time, 30 healthy volunteers were also selected to serve as control group. Expression level of miR-146a in PBMC cells of patients in each group was detected by quantitative real-time-polymerase chain reaction (qRT-PCR). Levels of tumor necrosis factor-α (TNF-α), interleukin-1β (IL-1β) and IL-6 in serum and the supernatant of culture medium of PBMC derived from each group were detected by enzyme-linked immunosorbent assay (ELISA). Correlations between expression level of miR-146a and serum inflammatory factors, and clinical indicators were analyzed. Clinical indicators included bath ankylosing spondylitis disease activity index (BASDAI), C-reactive protein (CRP), erythrocyte sedimentation rate (ESR) and duration of morning stiffness. Expression level of miR-146a in PBMC of AS patients was significantly higher than that of healthy control (P&lt;0.01); levels of TNF-α, IL-1β and IL-6 in serum and the supernatant of culture medium of PBMC derived from AS patients were significant compared to those of control group (P&lt;0.01); expression of miR-146a in PBMC of patients with AS was positively correlated with the levels of TNF-α, IL-1β and IL-6 in serum (r=0.632, P&lt;0.01; r=0.574, P&lt;0.01; r=0.483, P&lt;0.01). In addition, expression level of miR-146a in PBMC of patients with AS was positively correlated with BASDAI, ESR, CRP and duration of morning stiffness (r=0.551, P&lt;0.01; r=0.738, P&lt;0.01; r=0.685, P&lt;0.01; r=0.497, P&lt;0.01). Expression level of miR-146a in PBMC of AS patients was significantly increased and the expression level was positively correlated with the levels of TNF-α, IL-1β and IL-6 in serum (P&lt;0.05). In addition, expression level of miR-146a in PBMC of AS patients was also positively correlated with BASDAI, ESR, CRP and duration of morning stiffness. Those results suggest that miR-146a may be involved in the pathogenesis of AS, and the expression level of miR-146a in PBMC cells may be helpful for diagnosis of AS and judgment of disease activity.","DOI":"10.3892/etm.2017.5155","ISSN":"1792-0981","note":"PMID: 29201209\nPMCID: PMC5704307","journalAbbreviation":"Exp Ther Med","language":"eng","author":[{"family":"Wei","given":"Chengjun"},{"family":"Zhang","given":"Hongxia"},{"family":"Wei","given":"Chenghong"},{"family":"Mao","given":"Youyan"}],"issued":{"date-parts":[["2017",11]]}}},{"id":75,"uris":["http://zotero.org/users/local/kXGSmZCI/items/TML8RUN3"],"uri":["http://zotero.org/users/local/kXGSmZCI/items/TML8RUN3"],"itemData":{"id":75,"type":"article-journal","title":"Identification of Serum miR-146a and miR-155 as Novel Noninvasive Complementary Biomarkers for Ankylosing Spondylitis","container-title":"Spine","page":"735-742","volume":"41","issue":"9","source":"PubMed","abstract":"STUDY DESIGN: Prospective serum microRNAs study.\nOBJECTIVE: To investigate differentially expressed serum microRNAs (miRNAs) between ankylosing spondylitis (AS) patients and controls, and to evaluate the potential of miRNAs as biomarkers for AS.\nSUMMARY OF BACKGROUND DATA: There is an urgent need to explore novel biomarkers with more high sensitivity and specificity for the diagnosis of AS, especially for early-stage AS. Recently, the discovery of miRNAs has paved a new avenue for the diagnosis of cancers and other diseases, However, the global serum miRNAs pattern in AS patients has never been determined.\nMETHODS: An initial screening of miRNA expression by Solexa sequencing was performed using serum samples pooled from 10 AS patients and 10 controls, respectively. Subsequently, differential expression was validated using hydrolysis probe-based stem-loop quantitative reverse transcription polymerase chain reaction (qRT-PCR). Furthermore, AS patients were divided into group A (kyphosis &lt;70°) and group B (kyphosis ≥70°). Disease activity and functional status were evaluated by Bath Ankylosing Spondylitis Disease Activity Index (BASDAI) and the Bath Ankylosing Spondylitis Functional Index (BASFI), respectively. The areas under the receiver-operating characteristic (ROC) curves of identified miRNAs were analyzed.\nRESULTS: Nineteen serum miRNAs were differentially expressed in AS patients compared with controls. After qRT-PCR confirmation, miR-146a and miR-155 were significantly upregulated in AS patients. The areas under the ROC curves using miR-146a and miR-155 were 0.917 and 0.964, respectively. Importantly, the miR-155 expression level in group B was significantly higher than that in group A. In addition, significant correlation was observed between miR-155 expression level and BASDAI (r = 0.5, P &lt; 0.01).\nCONCLUSION: Detection of serum miRNAs (miR-146a and miR-155) may serve as novel complementary biomarkers for AS. Moreover, the expression level of miR-155 is suggested to be associated with disease activity and the severity of thoracolumbar kyphosis secondary to AS.\nLEVEL OF EVIDENCE: NA.","DOI":"10.1097/BRS.0000000000001339","ISSN":"1528-1159","note":"PMID: 27128253","journalAbbreviation":"Spine","language":"eng","author":[{"family":"Qian","given":"Bang-Ping"},{"family":"Ji","given":"Ming-Liang"},{"family":"Qiu","given":"Yong"},{"family":"Wang","given":"Bin"},{"family":"Yu","given":"Yang"},{"family":"Shi","given":"Wei"},{"family":"Luo","given":"Yong-Feng"}],"issued":{"date-parts":[["2016",5]]}}},{"id":30,"uris":["http://zotero.org/users/local/kXGSmZCI/items/L84ILMYP"],"uri":["http://zotero.org/users/local/kXGSmZCI/items/L84ILMYP"],"itemData":{"id":30,"type":"article-journal","title":"Disorders of MicroRNAs in Peripheral Blood Mononuclear Cells: As Novel Biomarkers of Ankylosing Spondylitis and Provocative Therapeutic Targets","container-title":"BioMed Research International","page":"504208","volume":"2015","source":"PubMed","abstract":"BACKGROUND: MicroRNAs can potentially regulate every aspect of cellular activity. In this study, we investigated whether AS pathogenesis involves microRNAs disorders.\nRESULT: The expression of 2 microRNAs, hsa-miR-126-3p and hsa-miR-29a, was significantly lower in active AS group before etanercept therapy than in control group. Marched fold changes of them were 3.76 and 16.22. Moreover, expressions of hsa-miR-126-3p and hsa-miR-29a were dramatically upregulated after 12-weeks etanercept treatment. Fold changes were 2.20 and 3.18. All regulations of microRNAs expression mentioned before were statistically significant (fold change &gt;2 and P &lt; 0.05). The expression disorders of the 2 microRNAs did not statistically significantly correlated with BASDAI, CRP, and ESR.\nCONCLUSION: AS pathogenesis involved dysregulation of microRNAs. Hsa-miR-126-3p and hsa-miR-29a will probably become the potential biomarkers and provocative therapeutic targets of AS.","DOI":"10.1155/2015/504208","ISSN":"2314-6141","note":"PMID: 26273623\nPMCID: PMC4529895","shortTitle":"Disorders of MicroRNAs in Peripheral Blood Mononuclear Cells","journalAbbreviation":"Biomed Res Int","language":"eng","author":[{"family":"Lv","given":"Qing"},{"family":"Li","given":"Qiuxia"},{"family":"Zhang","given":"Peizhuo"},{"family":"Jiang","given":"Yingjuan"},{"family":"Wang","given":"Xinwei"},{"family":"Wei","given":"Qiujing"},{"family":"Cao","given":"Shuangyan"},{"family":"Liao","given":"Zetao"},{"family":"Lin","given":"Zhiming"},{"family":"Pan","given":"Yunfeng"},{"family":"Huang","given":"Jianlin"},{"family":"Li","given":"Tianwang"},{"family":"Jin","given":"Ou"},{"family":"Wu","given":"Yuqiong"},{"family":"Gu","given":"Jieruo"}],"issued":{"date-parts":[["2015"]]}}},{"id":29,"uris":["http://zotero.org/users/local/kXGSmZCI/items/4ULZFZRY"],"uri":["http://zotero.org/users/local/kXGSmZCI/items/4ULZFZRY"],"itemData":{"id":29,"type":"article-journal","title":"Elevated miR-29a expression is not correlated with disease activity index in PBMCs of patients with ankylosing spondylitis","container-title":"Modern Rheumatology","page":"331-334","volume":"24","issue":"2","source":"PubMed","abstract":"OBJECTIVES: Ankylosing spondylitis (AS) is a chronic inflammatory disease characterized by new bone formation. Recent evidence suggests that new bone formation in AS may be due to upregulation of Wnt signaling in the osteoblastic pathway secondary to low serum Dickkopf homolog 1 (Dkk-1) levels. And miR-29a orchestrates osteoblast differentiation through direct targeting and negative regulation of Dkk-1.\nMETHODS: We initially validated the expression levels of miR-29a in the peripheral blood mononuclear cells (PBMCs) of AS patients (n = 30), rheumatoid arthritis (RA) patients (n = 30) and healthy controls (n = 30) using real-time quantitative reverse transcription PCR (qRT-PCR). Correlation analysis was assessed between miR-29a level in PBMCs of AS patients and disease activity indexes, including erythrocyte sedimentation rate (ESR), C-reactive protein (CRP), Bath ankylosing spondylitis disease activity index (BASDAI), Bath ankylosing spondylitis function index (BASFI) and modified Stoke ankylosing spondylitis spinal score (mSASSS).\nRESULTS: Significantly higher expression of miR-29a was observed in PBMCs of AS patients (Ct 9.18 ± 1.96) compared with that in RA patients (10.97 ± 0.70, p &lt; 0.001) and healthy controls (Ct 11.45 ± 1.23, p &lt; 0.001). There was no significant difference between RA patients and healthy controls in miR-29a expression (p &gt; 0.05). Elevated miR-29a expression is not correlated with disease activity index (p &gt; 0.05). A weak correlation was found between elevated miR-29a expression and mSASSS (r = -0.393, p = 0.032).\nCONCLUSIONS: We report for the first time elevated miR-29a expression in PBMCs of patients with ankylosing spondylitis, and miR-29a might be used as a useful diagnostic marker in new bone formation but cannot reflect disease activity.","DOI":"10.3109/14397595.2013.854077","ISSN":"1439-7609","note":"PMID: 24593209","journalAbbreviation":"Mod Rheumatol","language":"eng","author":[{"family":"Huang","given":"Jinxian"},{"family":"Song","given":"Guoxiang"},{"family":"Yin","given":"Zhihua"},{"family":"Luo","given":"Xiuxia"},{"family":"Ye","given":"Zhizhong"}],"issued":{"date-parts":[["2014",3]]}}}],"schema":"https://github.com/citation-style-language/schema/raw/master/csl-citation.json"} </w:instrText>
      </w:r>
      <w:r w:rsidR="00FC2EA3">
        <w:rPr>
          <w:b/>
          <w:lang w:val="en-GB"/>
        </w:rPr>
        <w:fldChar w:fldCharType="separate"/>
      </w:r>
      <w:r w:rsidR="003D447A" w:rsidRPr="003D447A">
        <w:rPr>
          <w:rFonts w:ascii="Calibri" w:hAnsi="Calibri" w:cs="Calibri"/>
          <w:szCs w:val="24"/>
        </w:rPr>
        <w:t>[4–19]</w:t>
      </w:r>
      <w:r w:rsidR="00FC2EA3">
        <w:rPr>
          <w:b/>
          <w:lang w:val="en-GB"/>
        </w:rPr>
        <w:fldChar w:fldCharType="end"/>
      </w:r>
      <w:r w:rsidR="00A070E2">
        <w:rPr>
          <w:b/>
          <w:lang w:val="en-GB"/>
        </w:rPr>
        <w:t>.</w:t>
      </w:r>
      <w:r>
        <w:rPr>
          <w:b/>
          <w:lang w:val="en-GB"/>
        </w:rPr>
        <w:t xml:space="preserve"> </w:t>
      </w:r>
      <w:r w:rsidRPr="00E45FC2">
        <w:rPr>
          <w:lang w:val="en-GB"/>
        </w:rPr>
        <w:t>Red colo</w:t>
      </w:r>
      <w:r w:rsidR="00301EAC">
        <w:rPr>
          <w:lang w:val="en-GB"/>
        </w:rPr>
        <w:t>u</w:t>
      </w:r>
      <w:r w:rsidRPr="00E45FC2">
        <w:rPr>
          <w:lang w:val="en-GB"/>
        </w:rPr>
        <w:t xml:space="preserve">r </w:t>
      </w:r>
      <w:r w:rsidR="006B4A8B">
        <w:rPr>
          <w:lang w:val="en-GB"/>
        </w:rPr>
        <w:t>represents</w:t>
      </w:r>
      <w:r w:rsidRPr="00E45FC2">
        <w:rPr>
          <w:lang w:val="en-GB"/>
        </w:rPr>
        <w:t xml:space="preserve"> </w:t>
      </w:r>
      <w:proofErr w:type="spellStart"/>
      <w:r w:rsidRPr="00E45FC2">
        <w:rPr>
          <w:lang w:val="en-GB"/>
        </w:rPr>
        <w:t>miRs</w:t>
      </w:r>
      <w:proofErr w:type="spellEnd"/>
      <w:r w:rsidRPr="00E45FC2">
        <w:rPr>
          <w:lang w:val="en-GB"/>
        </w:rPr>
        <w:t xml:space="preserve"> </w:t>
      </w:r>
      <w:r w:rsidR="006B4A8B">
        <w:rPr>
          <w:lang w:val="en-GB"/>
        </w:rPr>
        <w:t xml:space="preserve">with lower expression levels </w:t>
      </w:r>
      <w:r w:rsidRPr="00E45FC2">
        <w:rPr>
          <w:lang w:val="en-GB"/>
        </w:rPr>
        <w:t>in patients and blue colo</w:t>
      </w:r>
      <w:r w:rsidR="006B4A8B">
        <w:rPr>
          <w:lang w:val="en-GB"/>
        </w:rPr>
        <w:t>u</w:t>
      </w:r>
      <w:r w:rsidRPr="00E45FC2">
        <w:rPr>
          <w:lang w:val="en-GB"/>
        </w:rPr>
        <w:t xml:space="preserve">r </w:t>
      </w:r>
      <w:r w:rsidR="006B4A8B">
        <w:rPr>
          <w:lang w:val="en-GB"/>
        </w:rPr>
        <w:t>represents</w:t>
      </w:r>
      <w:r w:rsidRPr="00E45FC2">
        <w:rPr>
          <w:lang w:val="en-GB"/>
        </w:rPr>
        <w:t xml:space="preserve"> overexpression of selected </w:t>
      </w:r>
      <w:proofErr w:type="spellStart"/>
      <w:r w:rsidRPr="00E45FC2">
        <w:rPr>
          <w:lang w:val="en-GB"/>
        </w:rPr>
        <w:t>miRs</w:t>
      </w:r>
      <w:proofErr w:type="spellEnd"/>
      <w:r w:rsidRPr="00E45FC2">
        <w:rPr>
          <w:lang w:val="en-GB"/>
        </w:rPr>
        <w:t xml:space="preserve"> in </w:t>
      </w:r>
      <w:r w:rsidR="006B4A8B">
        <w:rPr>
          <w:lang w:val="en-GB"/>
        </w:rPr>
        <w:t>patients</w:t>
      </w:r>
      <w:r w:rsidRPr="00E45FC2">
        <w:rPr>
          <w:lang w:val="en-GB"/>
        </w:rPr>
        <w:t>.</w:t>
      </w:r>
      <w:r>
        <w:rPr>
          <w:b/>
          <w:lang w:val="en-GB"/>
        </w:rPr>
        <w:t xml:space="preserve">  </w:t>
      </w:r>
      <w:r w:rsidRPr="00E45FC2">
        <w:rPr>
          <w:lang w:val="en-GB"/>
        </w:rPr>
        <w:t xml:space="preserve">MiRs differentially expressed in the same </w:t>
      </w:r>
      <w:r w:rsidR="00957A76">
        <w:rPr>
          <w:lang w:val="en-GB"/>
        </w:rPr>
        <w:t>direction</w:t>
      </w:r>
      <w:r w:rsidR="00957A76" w:rsidRPr="00E45FC2">
        <w:rPr>
          <w:lang w:val="en-GB"/>
        </w:rPr>
        <w:t xml:space="preserve"> </w:t>
      </w:r>
      <w:r w:rsidRPr="00E45FC2">
        <w:rPr>
          <w:lang w:val="en-GB"/>
        </w:rPr>
        <w:t xml:space="preserve">across studies are in bold. </w:t>
      </w:r>
      <w:proofErr w:type="gramStart"/>
      <w:r>
        <w:rPr>
          <w:lang w:val="en-GB"/>
        </w:rPr>
        <w:t>SFMC :</w:t>
      </w:r>
      <w:proofErr w:type="gramEnd"/>
      <w:r>
        <w:rPr>
          <w:lang w:val="en-GB"/>
        </w:rPr>
        <w:t xml:space="preserve"> synovial fluid mononuclear cell, PBMC: peripheral blood mononuclear cell</w:t>
      </w:r>
      <w:r w:rsidR="00E126F4">
        <w:rPr>
          <w:lang w:val="en-GB"/>
        </w:rPr>
        <w:t>.</w:t>
      </w:r>
    </w:p>
    <w:p w14:paraId="45281D33" w14:textId="60973372" w:rsidR="00FC2EA3" w:rsidRDefault="00E45FC2" w:rsidP="00B16CA1">
      <w:pPr>
        <w:rPr>
          <w:b/>
          <w:lang w:val="en-GB"/>
        </w:rPr>
      </w:pPr>
      <w:r w:rsidRPr="00E45FC2">
        <w:rPr>
          <w:b/>
          <w:noProof/>
        </w:rPr>
        <w:drawing>
          <wp:inline distT="0" distB="0" distL="0" distR="0" wp14:anchorId="54988693" wp14:editId="7A6FA21F">
            <wp:extent cx="4400652" cy="4487053"/>
            <wp:effectExtent l="0" t="0" r="0" b="889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20638" t="17581" r="34943" b="9953"/>
                    <a:stretch/>
                  </pic:blipFill>
                  <pic:spPr bwMode="auto">
                    <a:xfrm>
                      <a:off x="0" y="0"/>
                      <a:ext cx="4400652" cy="4487053"/>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239D7EF2" w14:textId="77777777" w:rsidR="00FC2EA3" w:rsidRDefault="00FC2EA3">
      <w:pPr>
        <w:rPr>
          <w:b/>
          <w:lang w:val="en-GB"/>
        </w:rPr>
      </w:pPr>
      <w:r>
        <w:rPr>
          <w:b/>
          <w:lang w:val="en-GB"/>
        </w:rPr>
        <w:br w:type="page"/>
      </w:r>
    </w:p>
    <w:p w14:paraId="66DA5261" w14:textId="2F0D261D" w:rsidR="00E45FC2" w:rsidRDefault="00FC2EA3" w:rsidP="00B16CA1">
      <w:pPr>
        <w:rPr>
          <w:b/>
          <w:lang w:val="en-GB"/>
        </w:rPr>
      </w:pPr>
      <w:r>
        <w:rPr>
          <w:b/>
          <w:lang w:val="en-GB"/>
        </w:rPr>
        <w:lastRenderedPageBreak/>
        <w:t>References</w:t>
      </w:r>
    </w:p>
    <w:p w14:paraId="4265979D" w14:textId="77777777" w:rsidR="003D447A" w:rsidRPr="003D447A" w:rsidRDefault="00FC2EA3" w:rsidP="003D447A">
      <w:pPr>
        <w:pStyle w:val="Bibliography"/>
        <w:rPr>
          <w:rFonts w:ascii="Calibri" w:hAnsi="Calibri" w:cs="Calibri"/>
        </w:rPr>
      </w:pPr>
      <w:r>
        <w:rPr>
          <w:b/>
          <w:lang w:val="en-GB"/>
        </w:rPr>
        <w:fldChar w:fldCharType="begin"/>
      </w:r>
      <w:r w:rsidR="003D447A">
        <w:rPr>
          <w:b/>
          <w:lang w:val="en-GB"/>
        </w:rPr>
        <w:instrText xml:space="preserve"> ADDIN ZOTERO_BIBL {"uncited":[],"omitted":[],"custom":[]} CSL_BIBLIOGRAPHY </w:instrText>
      </w:r>
      <w:r>
        <w:rPr>
          <w:b/>
          <w:lang w:val="en-GB"/>
        </w:rPr>
        <w:fldChar w:fldCharType="separate"/>
      </w:r>
      <w:r w:rsidR="003D447A" w:rsidRPr="003D447A">
        <w:rPr>
          <w:rFonts w:ascii="Calibri" w:hAnsi="Calibri" w:cs="Calibri"/>
        </w:rPr>
        <w:t xml:space="preserve">1. Mestdagh P, Van Vlierberghe P, De Weer A, Muth D, Westermann F, Speleman F, et al. A novel and universal method for microRNA RT-qPCR data normalization. Genome Biol. 2009;10:R64. </w:t>
      </w:r>
    </w:p>
    <w:p w14:paraId="4E764970" w14:textId="77777777" w:rsidR="003D447A" w:rsidRPr="003D447A" w:rsidRDefault="003D447A" w:rsidP="003D447A">
      <w:pPr>
        <w:pStyle w:val="Bibliography"/>
        <w:rPr>
          <w:rFonts w:ascii="Calibri" w:hAnsi="Calibri" w:cs="Calibri"/>
        </w:rPr>
      </w:pPr>
      <w:r w:rsidRPr="003D447A">
        <w:rPr>
          <w:rFonts w:ascii="Calibri" w:hAnsi="Calibri" w:cs="Calibri"/>
        </w:rPr>
        <w:t xml:space="preserve">2. Livak KJ, Schmittgen TD. Analysis of relative gene expression data using real-time quantitative PCR and the 2(-Delta Delta C(T)) Method. Methods San Diego Calif. 2001;25:402–8. </w:t>
      </w:r>
    </w:p>
    <w:p w14:paraId="2AEC1AA4" w14:textId="77777777" w:rsidR="003D447A" w:rsidRPr="003D447A" w:rsidRDefault="003D447A" w:rsidP="003D447A">
      <w:pPr>
        <w:pStyle w:val="Bibliography"/>
        <w:rPr>
          <w:rFonts w:ascii="Calibri" w:hAnsi="Calibri" w:cs="Calibri"/>
        </w:rPr>
      </w:pPr>
      <w:r w:rsidRPr="003D447A">
        <w:rPr>
          <w:rFonts w:ascii="Calibri" w:hAnsi="Calibri" w:cs="Calibri"/>
        </w:rPr>
        <w:t xml:space="preserve">3. Vlachos IS, Kostoulas N, Vergoulis T, Georgakilas G, Reczko M, Maragkakis M, et al. DIANA miRPath v.2.0: investigating the combinatorial effect of microRNAs in pathways. Nucleic Acids Res. 2012;40:W498-504. </w:t>
      </w:r>
    </w:p>
    <w:p w14:paraId="3EC6CDF6" w14:textId="77777777" w:rsidR="003D447A" w:rsidRPr="003D447A" w:rsidRDefault="003D447A" w:rsidP="003D447A">
      <w:pPr>
        <w:pStyle w:val="Bibliography"/>
        <w:rPr>
          <w:rFonts w:ascii="Calibri" w:hAnsi="Calibri" w:cs="Calibri"/>
        </w:rPr>
      </w:pPr>
      <w:r w:rsidRPr="003D447A">
        <w:rPr>
          <w:rFonts w:ascii="Calibri" w:hAnsi="Calibri" w:cs="Calibri"/>
        </w:rPr>
        <w:t xml:space="preserve">4. Prajzlerová K, Grobelná K, Hušáková M, Forejtová Š, Jüngel A, Gay S, et al. Association between circulating miRNAs and spinal involvement in patients with axial spondyloarthritis. PloS One. 2017;12:e0185323. </w:t>
      </w:r>
    </w:p>
    <w:p w14:paraId="6BD81BAC" w14:textId="77777777" w:rsidR="003D447A" w:rsidRPr="003D447A" w:rsidRDefault="003D447A" w:rsidP="003D447A">
      <w:pPr>
        <w:pStyle w:val="Bibliography"/>
        <w:rPr>
          <w:rFonts w:ascii="Calibri" w:hAnsi="Calibri" w:cs="Calibri"/>
        </w:rPr>
      </w:pPr>
      <w:r w:rsidRPr="003D447A">
        <w:rPr>
          <w:rFonts w:ascii="Calibri" w:hAnsi="Calibri" w:cs="Calibri"/>
        </w:rPr>
        <w:t xml:space="preserve">5. Di G, Kong L, Zhao Q, Ding T. MicroRNA-146a knockdown suppresses the progression of ankylosing spondylitis by targeting dickkopf 1. Biomed Pharmacother Biomedecine Pharmacother. 2018;97:1243–9. </w:t>
      </w:r>
    </w:p>
    <w:p w14:paraId="5CAA965C" w14:textId="77777777" w:rsidR="003D447A" w:rsidRPr="003D447A" w:rsidRDefault="003D447A" w:rsidP="003D447A">
      <w:pPr>
        <w:pStyle w:val="Bibliography"/>
        <w:rPr>
          <w:rFonts w:ascii="Calibri" w:hAnsi="Calibri" w:cs="Calibri"/>
        </w:rPr>
      </w:pPr>
      <w:r w:rsidRPr="003D447A">
        <w:rPr>
          <w:rFonts w:ascii="Calibri" w:hAnsi="Calibri" w:cs="Calibri"/>
        </w:rPr>
        <w:t xml:space="preserve">6. Magrey MN, Haqqi T, Haseeb A. Identification of plasma microRNA expression profile in radiographic axial spondyloarthritis-a pilot study. Clin Rheumatol. 2016;35:1323–7. </w:t>
      </w:r>
    </w:p>
    <w:p w14:paraId="17573173" w14:textId="77777777" w:rsidR="003D447A" w:rsidRPr="003D447A" w:rsidRDefault="003D447A" w:rsidP="003D447A">
      <w:pPr>
        <w:pStyle w:val="Bibliography"/>
        <w:rPr>
          <w:rFonts w:ascii="Calibri" w:hAnsi="Calibri" w:cs="Calibri"/>
        </w:rPr>
      </w:pPr>
      <w:r w:rsidRPr="003D447A">
        <w:rPr>
          <w:rFonts w:ascii="Calibri" w:hAnsi="Calibri" w:cs="Calibri"/>
        </w:rPr>
        <w:t xml:space="preserve">7. Wang Y, Luo J, Wang X, Yang B, Cui L. MicroRNA-199a-5p Induced Autophagy and Inhibits the Pathogenesis of Ankylosing Spondylitis by Modulating the mTOR Signaling via Directly Targeting Ras Homolog Enriched in Brain (Rheb). Cell Physiol Biochem Int J Exp Cell Physiol Biochem Pharmacol. 2017;42:2481–91. </w:t>
      </w:r>
    </w:p>
    <w:p w14:paraId="0710BD15" w14:textId="77777777" w:rsidR="003D447A" w:rsidRPr="003D447A" w:rsidRDefault="003D447A" w:rsidP="003D447A">
      <w:pPr>
        <w:pStyle w:val="Bibliography"/>
        <w:rPr>
          <w:rFonts w:ascii="Calibri" w:hAnsi="Calibri" w:cs="Calibri"/>
        </w:rPr>
      </w:pPr>
      <w:r w:rsidRPr="003D447A">
        <w:rPr>
          <w:rFonts w:ascii="Calibri" w:hAnsi="Calibri" w:cs="Calibri"/>
        </w:rPr>
        <w:t xml:space="preserve">8. Chen L, Al-Mossawi MH, Ridley A, Sekine T, Hammitzsch A, de Wit J, et al. miR-10b-5p is a novel Th17 regulator present in Th17 cells from ankylosing spondylitis. Ann Rheum Dis. 2017;76:620–5. </w:t>
      </w:r>
    </w:p>
    <w:p w14:paraId="283279DD" w14:textId="77777777" w:rsidR="003D447A" w:rsidRPr="003D447A" w:rsidRDefault="003D447A" w:rsidP="003D447A">
      <w:pPr>
        <w:pStyle w:val="Bibliography"/>
        <w:rPr>
          <w:rFonts w:ascii="Calibri" w:hAnsi="Calibri" w:cs="Calibri"/>
        </w:rPr>
      </w:pPr>
      <w:r w:rsidRPr="003D447A">
        <w:rPr>
          <w:rFonts w:ascii="Calibri" w:hAnsi="Calibri" w:cs="Calibri"/>
        </w:rPr>
        <w:t xml:space="preserve">9. Lai N-S, Yu H-C, Chen H-C, Yu C-L, Huang H-B, Lu M-C. Aberrant expression of microRNAs in T cells from patients with ankylosing spondylitis contributes to the immunopathogenesis. Clin Exp Immunol. 2013;173:47–57. </w:t>
      </w:r>
    </w:p>
    <w:p w14:paraId="3379E5B5" w14:textId="77777777" w:rsidR="003D447A" w:rsidRPr="003D447A" w:rsidRDefault="003D447A" w:rsidP="003D447A">
      <w:pPr>
        <w:pStyle w:val="Bibliography"/>
        <w:rPr>
          <w:rFonts w:ascii="Calibri" w:hAnsi="Calibri" w:cs="Calibri"/>
        </w:rPr>
      </w:pPr>
      <w:r w:rsidRPr="003D447A">
        <w:rPr>
          <w:rFonts w:ascii="Calibri" w:hAnsi="Calibri" w:cs="Calibri"/>
        </w:rPr>
        <w:t xml:space="preserve">10. Jin H-M, Cho Y-N, Kee S-J, Lee S-S, Park Y-W, Kim T-J. Micro-Ribonucleic Acid Profiles From Microarray in Ankylosing Spondylitis. Arch Rheumatol. 2016;31:121–6. </w:t>
      </w:r>
    </w:p>
    <w:p w14:paraId="666E2319" w14:textId="77777777" w:rsidR="003D447A" w:rsidRPr="003D447A" w:rsidRDefault="003D447A" w:rsidP="003D447A">
      <w:pPr>
        <w:pStyle w:val="Bibliography"/>
        <w:rPr>
          <w:rFonts w:ascii="Calibri" w:hAnsi="Calibri" w:cs="Calibri"/>
        </w:rPr>
      </w:pPr>
      <w:r w:rsidRPr="003D447A">
        <w:rPr>
          <w:rFonts w:ascii="Calibri" w:hAnsi="Calibri" w:cs="Calibri"/>
        </w:rPr>
        <w:t xml:space="preserve">11. Wang M, Wang L, Zhang X, Yang X, Li X, Xia Q, et al. Overexpression of miR-31 in Peripheral Blood Mononuclear Cells (PBMC) from Patients with Ankylosing Spondylitis. Med Sci Monit Int Med J Exp Clin Res. 2017;23:5488–94. </w:t>
      </w:r>
    </w:p>
    <w:p w14:paraId="2A4567D3" w14:textId="77777777" w:rsidR="003D447A" w:rsidRPr="003D447A" w:rsidRDefault="003D447A" w:rsidP="003D447A">
      <w:pPr>
        <w:pStyle w:val="Bibliography"/>
        <w:rPr>
          <w:rFonts w:ascii="Calibri" w:hAnsi="Calibri" w:cs="Calibri"/>
        </w:rPr>
      </w:pPr>
      <w:r w:rsidRPr="003D447A">
        <w:rPr>
          <w:rFonts w:ascii="Calibri" w:hAnsi="Calibri" w:cs="Calibri"/>
        </w:rPr>
        <w:t xml:space="preserve">12. Xia Y, Chen K, Zhang M-H, Wang L-C, Ma C-Y, Lin Y-L, et al. MicroRNA-124 involves in ankylosing spondylitis by targeting ANTXR2. Mod Rheumatol. 2015;25:784–9. </w:t>
      </w:r>
    </w:p>
    <w:p w14:paraId="43ACD927" w14:textId="77777777" w:rsidR="003D447A" w:rsidRPr="003D447A" w:rsidRDefault="003D447A" w:rsidP="003D447A">
      <w:pPr>
        <w:pStyle w:val="Bibliography"/>
        <w:rPr>
          <w:rFonts w:ascii="Calibri" w:hAnsi="Calibri" w:cs="Calibri"/>
        </w:rPr>
      </w:pPr>
      <w:r w:rsidRPr="003D447A">
        <w:rPr>
          <w:rFonts w:ascii="Calibri" w:hAnsi="Calibri" w:cs="Calibri"/>
        </w:rPr>
        <w:t xml:space="preserve">13. Jiang Y, Wang L. Role of histone deacetylase 3 in ankylosing spondylitis via negative feedback loop with microRNA-130a and enhancement of tumor necrosis factor-1α expression in peripheral blood mononuclear cells. Mol Med Rep. 2016;13:35–40. </w:t>
      </w:r>
    </w:p>
    <w:p w14:paraId="59137C4B" w14:textId="77777777" w:rsidR="003D447A" w:rsidRPr="003D447A" w:rsidRDefault="003D447A" w:rsidP="003D447A">
      <w:pPr>
        <w:pStyle w:val="Bibliography"/>
        <w:rPr>
          <w:rFonts w:ascii="Calibri" w:hAnsi="Calibri" w:cs="Calibri"/>
        </w:rPr>
      </w:pPr>
      <w:r w:rsidRPr="003D447A">
        <w:rPr>
          <w:rFonts w:ascii="Calibri" w:hAnsi="Calibri" w:cs="Calibri"/>
        </w:rPr>
        <w:t xml:space="preserve">14. Zhang C, Wang C, Jia Z, Tong W, Liu D, He C, et al. Differentially expressed mRNAs, lncRNAs, and miRNAs with associated co-expression and ceRNA networks in ankylosing spondylitis. Oncotarget. 2017;8:113543–57. </w:t>
      </w:r>
    </w:p>
    <w:p w14:paraId="5B941BE4" w14:textId="77777777" w:rsidR="003D447A" w:rsidRPr="003D447A" w:rsidRDefault="003D447A" w:rsidP="003D447A">
      <w:pPr>
        <w:pStyle w:val="Bibliography"/>
        <w:rPr>
          <w:rFonts w:ascii="Calibri" w:hAnsi="Calibri" w:cs="Calibri"/>
        </w:rPr>
      </w:pPr>
      <w:r w:rsidRPr="003D447A">
        <w:rPr>
          <w:rFonts w:ascii="Calibri" w:hAnsi="Calibri" w:cs="Calibri"/>
        </w:rPr>
        <w:lastRenderedPageBreak/>
        <w:t xml:space="preserve">15. Huang C-H, Wei JC-C, Chang W-C, Chiou S-Y, Chou C-H, Lin Y-J, et al. Higher expression of whole blood microRNA-21 in patients with ankylosing spondylitis associated with programmed cell death 4 mRNA expression and collagen cross-linked C-telopeptide concentration. J Rheumatol. 2014;41:1104–11. </w:t>
      </w:r>
    </w:p>
    <w:p w14:paraId="5BFEE114" w14:textId="77777777" w:rsidR="003D447A" w:rsidRPr="003D447A" w:rsidRDefault="003D447A" w:rsidP="003D447A">
      <w:pPr>
        <w:pStyle w:val="Bibliography"/>
        <w:rPr>
          <w:rFonts w:ascii="Calibri" w:hAnsi="Calibri" w:cs="Calibri"/>
        </w:rPr>
      </w:pPr>
      <w:r w:rsidRPr="003D447A">
        <w:rPr>
          <w:rFonts w:ascii="Calibri" w:hAnsi="Calibri" w:cs="Calibri"/>
        </w:rPr>
        <w:t xml:space="preserve">16. Wei C, Zhang H, Wei C, Mao Y. Correlation of the expression of miR-146a in peripheral blood mononuclear cells of patients with ankylosing spondylitis and inflammatory factors. Exp Ther Med. 2017;14:5027–31. </w:t>
      </w:r>
    </w:p>
    <w:p w14:paraId="5C0DA1A4" w14:textId="77777777" w:rsidR="003D447A" w:rsidRPr="003D447A" w:rsidRDefault="003D447A" w:rsidP="003D447A">
      <w:pPr>
        <w:pStyle w:val="Bibliography"/>
        <w:rPr>
          <w:rFonts w:ascii="Calibri" w:hAnsi="Calibri" w:cs="Calibri"/>
          <w:lang w:val="fr-FR"/>
        </w:rPr>
      </w:pPr>
      <w:r w:rsidRPr="003D447A">
        <w:rPr>
          <w:rFonts w:ascii="Calibri" w:hAnsi="Calibri" w:cs="Calibri"/>
        </w:rPr>
        <w:t xml:space="preserve">17. Qian B-P, Ji M-L, Qiu Y, Wang B, Yu Y, Shi W, et al. Identification of Serum miR-146a and miR-155 as Novel Noninvasive Complementary Biomarkers for Ankylosing Spondylitis. </w:t>
      </w:r>
      <w:r w:rsidRPr="003D447A">
        <w:rPr>
          <w:rFonts w:ascii="Calibri" w:hAnsi="Calibri" w:cs="Calibri"/>
          <w:lang w:val="fr-FR"/>
        </w:rPr>
        <w:t xml:space="preserve">Spine. 2016;41:735–42. </w:t>
      </w:r>
    </w:p>
    <w:p w14:paraId="11FF0791" w14:textId="77777777" w:rsidR="003D447A" w:rsidRPr="003D447A" w:rsidRDefault="003D447A" w:rsidP="003D447A">
      <w:pPr>
        <w:pStyle w:val="Bibliography"/>
        <w:rPr>
          <w:rFonts w:ascii="Calibri" w:hAnsi="Calibri" w:cs="Calibri"/>
        </w:rPr>
      </w:pPr>
      <w:r w:rsidRPr="003D447A">
        <w:rPr>
          <w:rFonts w:ascii="Calibri" w:hAnsi="Calibri" w:cs="Calibri"/>
          <w:lang w:val="fr-FR"/>
        </w:rPr>
        <w:t xml:space="preserve">18. Lv Q, Li Q, Zhang P, Jiang Y, Wang X, Wei Q, et al. </w:t>
      </w:r>
      <w:r w:rsidRPr="003D447A">
        <w:rPr>
          <w:rFonts w:ascii="Calibri" w:hAnsi="Calibri" w:cs="Calibri"/>
        </w:rPr>
        <w:t xml:space="preserve">Disorders of MicroRNAs in Peripheral Blood Mononuclear Cells: As Novel Biomarkers of Ankylosing Spondylitis and Provocative Therapeutic Targets. BioMed Res Int. 2015;2015:504208. </w:t>
      </w:r>
    </w:p>
    <w:p w14:paraId="7FD20A3B" w14:textId="77777777" w:rsidR="003D447A" w:rsidRPr="003D447A" w:rsidRDefault="003D447A" w:rsidP="003D447A">
      <w:pPr>
        <w:pStyle w:val="Bibliography"/>
        <w:rPr>
          <w:rFonts w:ascii="Calibri" w:hAnsi="Calibri" w:cs="Calibri"/>
        </w:rPr>
      </w:pPr>
      <w:r w:rsidRPr="003D447A">
        <w:rPr>
          <w:rFonts w:ascii="Calibri" w:hAnsi="Calibri" w:cs="Calibri"/>
        </w:rPr>
        <w:t xml:space="preserve">19. Huang J, Song G, Yin Z, Luo X, Ye Z. Elevated miR-29a expression is not correlated with disease activity index in PBMCs of patients with ankylosing spondylitis. Mod Rheumatol. 2014;24:331–4. </w:t>
      </w:r>
    </w:p>
    <w:p w14:paraId="267BE3D4" w14:textId="37DF815B" w:rsidR="00FC2EA3" w:rsidRPr="00F21C99" w:rsidRDefault="00FC2EA3" w:rsidP="00B16CA1">
      <w:pPr>
        <w:rPr>
          <w:b/>
          <w:lang w:val="en-GB"/>
        </w:rPr>
      </w:pPr>
      <w:r>
        <w:rPr>
          <w:b/>
          <w:lang w:val="en-GB"/>
        </w:rPr>
        <w:fldChar w:fldCharType="end"/>
      </w:r>
    </w:p>
    <w:sectPr w:rsidR="00FC2EA3" w:rsidRPr="00F21C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1B2C8A" w14:textId="77777777" w:rsidR="00751594" w:rsidRDefault="00751594" w:rsidP="00FC2EA3">
      <w:pPr>
        <w:spacing w:after="0" w:line="240" w:lineRule="auto"/>
      </w:pPr>
      <w:r>
        <w:separator/>
      </w:r>
    </w:p>
  </w:endnote>
  <w:endnote w:type="continuationSeparator" w:id="0">
    <w:p w14:paraId="38D8F88B" w14:textId="77777777" w:rsidR="00751594" w:rsidRDefault="00751594" w:rsidP="00FC2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A069F7" w14:textId="77777777" w:rsidR="00751594" w:rsidRDefault="00751594" w:rsidP="00FC2EA3">
      <w:pPr>
        <w:spacing w:after="0" w:line="240" w:lineRule="auto"/>
      </w:pPr>
      <w:r>
        <w:separator/>
      </w:r>
    </w:p>
  </w:footnote>
  <w:footnote w:type="continuationSeparator" w:id="0">
    <w:p w14:paraId="53C605F2" w14:textId="77777777" w:rsidR="00751594" w:rsidRDefault="00751594" w:rsidP="00FC2E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0"/>
  </w:docVars>
  <w:rsids>
    <w:rsidRoot w:val="00343D90"/>
    <w:rsid w:val="000129FC"/>
    <w:rsid w:val="000410C4"/>
    <w:rsid w:val="00045B27"/>
    <w:rsid w:val="00047686"/>
    <w:rsid w:val="00105F7D"/>
    <w:rsid w:val="00173C86"/>
    <w:rsid w:val="00181703"/>
    <w:rsid w:val="001D33A7"/>
    <w:rsid w:val="00301EAC"/>
    <w:rsid w:val="003230B5"/>
    <w:rsid w:val="00343D90"/>
    <w:rsid w:val="003843F1"/>
    <w:rsid w:val="003D447A"/>
    <w:rsid w:val="00470FD1"/>
    <w:rsid w:val="004721FC"/>
    <w:rsid w:val="004F7B8F"/>
    <w:rsid w:val="006B4A8B"/>
    <w:rsid w:val="006F4029"/>
    <w:rsid w:val="00751594"/>
    <w:rsid w:val="00797EED"/>
    <w:rsid w:val="007A3282"/>
    <w:rsid w:val="00862489"/>
    <w:rsid w:val="008A6CF7"/>
    <w:rsid w:val="008B3150"/>
    <w:rsid w:val="008F05E1"/>
    <w:rsid w:val="00911DD9"/>
    <w:rsid w:val="00957A76"/>
    <w:rsid w:val="00A070E2"/>
    <w:rsid w:val="00A07A6A"/>
    <w:rsid w:val="00A26020"/>
    <w:rsid w:val="00A30FD9"/>
    <w:rsid w:val="00A932AC"/>
    <w:rsid w:val="00AA224A"/>
    <w:rsid w:val="00AB1B55"/>
    <w:rsid w:val="00B16CA1"/>
    <w:rsid w:val="00B5385D"/>
    <w:rsid w:val="00BC72A4"/>
    <w:rsid w:val="00C1286F"/>
    <w:rsid w:val="00C4312C"/>
    <w:rsid w:val="00C76227"/>
    <w:rsid w:val="00C84B00"/>
    <w:rsid w:val="00CE1604"/>
    <w:rsid w:val="00D328C3"/>
    <w:rsid w:val="00D42476"/>
    <w:rsid w:val="00DE3DE6"/>
    <w:rsid w:val="00E126F4"/>
    <w:rsid w:val="00E31185"/>
    <w:rsid w:val="00E45FC2"/>
    <w:rsid w:val="00E6406B"/>
    <w:rsid w:val="00F023DC"/>
    <w:rsid w:val="00F21C99"/>
    <w:rsid w:val="00FC2EA3"/>
    <w:rsid w:val="00FE669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446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343D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D90"/>
    <w:rPr>
      <w:rFonts w:asciiTheme="majorHAnsi" w:eastAsiaTheme="majorEastAsia" w:hAnsiTheme="majorHAnsi" w:cstheme="majorBidi"/>
      <w:b/>
      <w:bCs/>
      <w:color w:val="365F91" w:themeColor="accent1" w:themeShade="BF"/>
      <w:sz w:val="28"/>
      <w:szCs w:val="28"/>
      <w:lang w:val="en-US"/>
    </w:rPr>
  </w:style>
  <w:style w:type="character" w:styleId="Emphasis">
    <w:name w:val="Emphasis"/>
    <w:basedOn w:val="DefaultParagraphFont"/>
    <w:uiPriority w:val="20"/>
    <w:qFormat/>
    <w:rsid w:val="00343D90"/>
    <w:rPr>
      <w:rFonts w:ascii="Times New Roman" w:hAnsi="Times New Roman" w:cs="Times New Roman" w:hint="default"/>
      <w:i/>
      <w:iCs/>
    </w:rPr>
  </w:style>
  <w:style w:type="character" w:customStyle="1" w:styleId="st">
    <w:name w:val="st"/>
    <w:basedOn w:val="DefaultParagraphFont"/>
    <w:rsid w:val="00343D90"/>
    <w:rPr>
      <w:rFonts w:ascii="Times New Roman" w:hAnsi="Times New Roman" w:cs="Times New Roman" w:hint="default"/>
    </w:rPr>
  </w:style>
  <w:style w:type="character" w:styleId="Hyperlink">
    <w:name w:val="Hyperlink"/>
    <w:basedOn w:val="DefaultParagraphFont"/>
    <w:uiPriority w:val="99"/>
    <w:rsid w:val="00343D90"/>
    <w:rPr>
      <w:rFonts w:cs="Times New Roman"/>
      <w:color w:val="0000FF"/>
      <w:u w:val="single"/>
    </w:rPr>
  </w:style>
  <w:style w:type="paragraph" w:styleId="BalloonText">
    <w:name w:val="Balloon Text"/>
    <w:basedOn w:val="Normal"/>
    <w:link w:val="BalloonTextChar"/>
    <w:uiPriority w:val="99"/>
    <w:semiHidden/>
    <w:unhideWhenUsed/>
    <w:rsid w:val="00173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C86"/>
    <w:rPr>
      <w:rFonts w:ascii="Tahoma" w:hAnsi="Tahoma" w:cs="Tahoma"/>
      <w:sz w:val="16"/>
      <w:szCs w:val="16"/>
      <w:lang w:val="en-US"/>
    </w:rPr>
  </w:style>
  <w:style w:type="character" w:styleId="FollowedHyperlink">
    <w:name w:val="FollowedHyperlink"/>
    <w:basedOn w:val="DefaultParagraphFont"/>
    <w:uiPriority w:val="99"/>
    <w:semiHidden/>
    <w:unhideWhenUsed/>
    <w:rsid w:val="00797EED"/>
    <w:rPr>
      <w:color w:val="800080"/>
      <w:u w:val="single"/>
    </w:rPr>
  </w:style>
  <w:style w:type="paragraph" w:customStyle="1" w:styleId="msonormal0">
    <w:name w:val="msonormal"/>
    <w:basedOn w:val="Normal"/>
    <w:rsid w:val="00797EE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xl65">
    <w:name w:val="xl65"/>
    <w:basedOn w:val="Normal"/>
    <w:rsid w:val="00797EED"/>
    <w:pPr>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66">
    <w:name w:val="xl66"/>
    <w:basedOn w:val="Normal"/>
    <w:rsid w:val="00797EED"/>
    <w:pPr>
      <w:pBdr>
        <w:bottom w:val="single" w:sz="4" w:space="0" w:color="C0C0C0"/>
        <w:right w:val="single" w:sz="4" w:space="0" w:color="C0C0C0"/>
      </w:pBdr>
      <w:shd w:val="clear" w:color="000000" w:fill="00FFFF"/>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67">
    <w:name w:val="xl67"/>
    <w:basedOn w:val="Normal"/>
    <w:rsid w:val="00797EED"/>
    <w:pPr>
      <w:pBdr>
        <w:top w:val="single" w:sz="4" w:space="0" w:color="C0C0C0"/>
        <w:bottom w:val="single" w:sz="4" w:space="0" w:color="C0C0C0"/>
        <w:right w:val="single" w:sz="4" w:space="0" w:color="C0C0C0"/>
      </w:pBdr>
      <w:shd w:val="clear" w:color="000000" w:fill="FFFFFF"/>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68">
    <w:name w:val="xl68"/>
    <w:basedOn w:val="Normal"/>
    <w:rsid w:val="00797EED"/>
    <w:pPr>
      <w:pBdr>
        <w:left w:val="single" w:sz="4" w:space="0" w:color="C0C0C0"/>
        <w:bottom w:val="single" w:sz="4" w:space="0" w:color="C0C0C0"/>
        <w:right w:val="single" w:sz="4" w:space="0" w:color="C0C0C0"/>
      </w:pBdr>
      <w:shd w:val="clear" w:color="000000" w:fill="00FFFF"/>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69">
    <w:name w:val="xl69"/>
    <w:basedOn w:val="Normal"/>
    <w:rsid w:val="00797EED"/>
    <w:pPr>
      <w:pBdr>
        <w:top w:val="single" w:sz="4" w:space="0" w:color="C0C0C0"/>
        <w:left w:val="single" w:sz="4" w:space="0" w:color="C0C0C0"/>
        <w:bottom w:val="single" w:sz="4" w:space="0" w:color="C0C0C0"/>
        <w:right w:val="single" w:sz="4" w:space="0" w:color="C0C0C0"/>
      </w:pBdr>
      <w:shd w:val="clear" w:color="000000" w:fill="00FF00"/>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70">
    <w:name w:val="xl70"/>
    <w:basedOn w:val="Normal"/>
    <w:rsid w:val="00797EED"/>
    <w:pPr>
      <w:pBdr>
        <w:top w:val="single" w:sz="4" w:space="0" w:color="C0C0C0"/>
        <w:left w:val="single" w:sz="4" w:space="0" w:color="C0C0C0"/>
        <w:bottom w:val="single" w:sz="4" w:space="0" w:color="C0C0C0"/>
        <w:right w:val="single" w:sz="4" w:space="0" w:color="C0C0C0"/>
      </w:pBdr>
      <w:shd w:val="clear" w:color="000000" w:fill="00FF00"/>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71">
    <w:name w:val="xl71"/>
    <w:basedOn w:val="Normal"/>
    <w:rsid w:val="00797EED"/>
    <w:pPr>
      <w:pBdr>
        <w:top w:val="single" w:sz="4" w:space="0" w:color="C0C0C0"/>
        <w:left w:val="single" w:sz="4" w:space="0" w:color="C0C0C0"/>
        <w:bottom w:val="single" w:sz="4" w:space="0" w:color="C0C0C0"/>
        <w:right w:val="single" w:sz="4" w:space="0" w:color="C0C0C0"/>
      </w:pBdr>
      <w:shd w:val="clear" w:color="000000" w:fill="F5AA9C"/>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72">
    <w:name w:val="xl72"/>
    <w:basedOn w:val="Normal"/>
    <w:rsid w:val="00797EED"/>
    <w:pPr>
      <w:pBdr>
        <w:top w:val="single" w:sz="4" w:space="0" w:color="C0C0C0"/>
        <w:left w:val="single" w:sz="4" w:space="0" w:color="C0C0C0"/>
        <w:bottom w:val="single" w:sz="4" w:space="0" w:color="C0C0C0"/>
        <w:right w:val="single" w:sz="4" w:space="0" w:color="C0C0C0"/>
      </w:pBdr>
      <w:shd w:val="clear" w:color="000000" w:fill="F5AA9C"/>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73">
    <w:name w:val="xl73"/>
    <w:basedOn w:val="Normal"/>
    <w:rsid w:val="00797EED"/>
    <w:pPr>
      <w:pBdr>
        <w:top w:val="single" w:sz="4" w:space="0" w:color="C0C0C0"/>
        <w:left w:val="single" w:sz="4" w:space="0" w:color="C0C0C0"/>
        <w:bottom w:val="single" w:sz="4" w:space="0" w:color="C0C0C0"/>
        <w:right w:val="single" w:sz="4" w:space="0" w:color="C0C0C0"/>
      </w:pBdr>
      <w:shd w:val="clear" w:color="000000" w:fill="FFFFFF"/>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74">
    <w:name w:val="xl74"/>
    <w:basedOn w:val="Normal"/>
    <w:rsid w:val="00797EED"/>
    <w:pPr>
      <w:pBdr>
        <w:top w:val="single" w:sz="4" w:space="0" w:color="C0C0C0"/>
        <w:left w:val="single" w:sz="4" w:space="0" w:color="C0C0C0"/>
        <w:bottom w:val="single" w:sz="4" w:space="0" w:color="C0C0C0"/>
        <w:right w:val="single" w:sz="4" w:space="0" w:color="C0C0C0"/>
      </w:pBdr>
      <w:shd w:val="clear" w:color="000000" w:fill="00FF00"/>
      <w:spacing w:before="100" w:beforeAutospacing="1" w:after="100" w:afterAutospacing="1" w:line="240" w:lineRule="auto"/>
      <w:jc w:val="right"/>
      <w:textAlignment w:val="top"/>
    </w:pPr>
    <w:rPr>
      <w:rFonts w:ascii="Arial" w:eastAsia="Times New Roman" w:hAnsi="Arial" w:cs="Arial"/>
      <w:color w:val="000000"/>
      <w:sz w:val="20"/>
      <w:szCs w:val="20"/>
      <w:lang w:val="fr-FR" w:eastAsia="fr-FR"/>
    </w:rPr>
  </w:style>
  <w:style w:type="paragraph" w:customStyle="1" w:styleId="xl75">
    <w:name w:val="xl75"/>
    <w:basedOn w:val="Normal"/>
    <w:rsid w:val="00797EED"/>
    <w:pPr>
      <w:pBdr>
        <w:top w:val="single" w:sz="4" w:space="0" w:color="C0C0C0"/>
        <w:left w:val="single" w:sz="4" w:space="0" w:color="C0C0C0"/>
        <w:bottom w:val="single" w:sz="4" w:space="0" w:color="C0C0C0"/>
        <w:right w:val="single" w:sz="4" w:space="0" w:color="C0C0C0"/>
      </w:pBdr>
      <w:shd w:val="clear" w:color="000000" w:fill="FFFF00"/>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character" w:styleId="CommentReference">
    <w:name w:val="annotation reference"/>
    <w:basedOn w:val="DefaultParagraphFont"/>
    <w:uiPriority w:val="99"/>
    <w:semiHidden/>
    <w:unhideWhenUsed/>
    <w:rsid w:val="00B16CA1"/>
    <w:rPr>
      <w:sz w:val="16"/>
      <w:szCs w:val="16"/>
    </w:rPr>
  </w:style>
  <w:style w:type="paragraph" w:styleId="CommentText">
    <w:name w:val="annotation text"/>
    <w:basedOn w:val="Normal"/>
    <w:link w:val="CommentTextChar"/>
    <w:uiPriority w:val="99"/>
    <w:semiHidden/>
    <w:unhideWhenUsed/>
    <w:rsid w:val="00B16CA1"/>
    <w:pPr>
      <w:spacing w:line="240" w:lineRule="auto"/>
    </w:pPr>
    <w:rPr>
      <w:sz w:val="20"/>
      <w:szCs w:val="20"/>
      <w:lang w:val="fr-FR"/>
    </w:rPr>
  </w:style>
  <w:style w:type="character" w:customStyle="1" w:styleId="CommentTextChar">
    <w:name w:val="Comment Text Char"/>
    <w:basedOn w:val="DefaultParagraphFont"/>
    <w:link w:val="CommentText"/>
    <w:uiPriority w:val="99"/>
    <w:semiHidden/>
    <w:rsid w:val="00B16CA1"/>
    <w:rPr>
      <w:sz w:val="20"/>
      <w:szCs w:val="20"/>
    </w:rPr>
  </w:style>
  <w:style w:type="paragraph" w:styleId="CommentSubject">
    <w:name w:val="annotation subject"/>
    <w:basedOn w:val="CommentText"/>
    <w:next w:val="CommentText"/>
    <w:link w:val="CommentSubjectChar"/>
    <w:uiPriority w:val="99"/>
    <w:semiHidden/>
    <w:unhideWhenUsed/>
    <w:rsid w:val="00957A76"/>
    <w:rPr>
      <w:b/>
      <w:bCs/>
      <w:lang w:val="en-US"/>
    </w:rPr>
  </w:style>
  <w:style w:type="character" w:customStyle="1" w:styleId="CommentSubjectChar">
    <w:name w:val="Comment Subject Char"/>
    <w:basedOn w:val="CommentTextChar"/>
    <w:link w:val="CommentSubject"/>
    <w:uiPriority w:val="99"/>
    <w:semiHidden/>
    <w:rsid w:val="00957A76"/>
    <w:rPr>
      <w:b/>
      <w:bCs/>
      <w:sz w:val="20"/>
      <w:szCs w:val="20"/>
      <w:lang w:val="en-US"/>
    </w:rPr>
  </w:style>
  <w:style w:type="paragraph" w:styleId="Header">
    <w:name w:val="header"/>
    <w:basedOn w:val="Normal"/>
    <w:link w:val="HeaderChar"/>
    <w:uiPriority w:val="99"/>
    <w:unhideWhenUsed/>
    <w:rsid w:val="00FC2E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2EA3"/>
    <w:rPr>
      <w:lang w:val="en-US"/>
    </w:rPr>
  </w:style>
  <w:style w:type="paragraph" w:styleId="Footer">
    <w:name w:val="footer"/>
    <w:basedOn w:val="Normal"/>
    <w:link w:val="FooterChar"/>
    <w:uiPriority w:val="99"/>
    <w:unhideWhenUsed/>
    <w:rsid w:val="00FC2E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FC2EA3"/>
    <w:rPr>
      <w:lang w:val="en-US"/>
    </w:rPr>
  </w:style>
  <w:style w:type="paragraph" w:styleId="Bibliography">
    <w:name w:val="Bibliography"/>
    <w:basedOn w:val="Normal"/>
    <w:next w:val="Normal"/>
    <w:uiPriority w:val="37"/>
    <w:unhideWhenUsed/>
    <w:rsid w:val="00FC2EA3"/>
    <w:pPr>
      <w:spacing w:after="24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343D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D90"/>
    <w:rPr>
      <w:rFonts w:asciiTheme="majorHAnsi" w:eastAsiaTheme="majorEastAsia" w:hAnsiTheme="majorHAnsi" w:cstheme="majorBidi"/>
      <w:b/>
      <w:bCs/>
      <w:color w:val="365F91" w:themeColor="accent1" w:themeShade="BF"/>
      <w:sz w:val="28"/>
      <w:szCs w:val="28"/>
      <w:lang w:val="en-US"/>
    </w:rPr>
  </w:style>
  <w:style w:type="character" w:styleId="Emphasis">
    <w:name w:val="Emphasis"/>
    <w:basedOn w:val="DefaultParagraphFont"/>
    <w:uiPriority w:val="20"/>
    <w:qFormat/>
    <w:rsid w:val="00343D90"/>
    <w:rPr>
      <w:rFonts w:ascii="Times New Roman" w:hAnsi="Times New Roman" w:cs="Times New Roman" w:hint="default"/>
      <w:i/>
      <w:iCs/>
    </w:rPr>
  </w:style>
  <w:style w:type="character" w:customStyle="1" w:styleId="st">
    <w:name w:val="st"/>
    <w:basedOn w:val="DefaultParagraphFont"/>
    <w:rsid w:val="00343D90"/>
    <w:rPr>
      <w:rFonts w:ascii="Times New Roman" w:hAnsi="Times New Roman" w:cs="Times New Roman" w:hint="default"/>
    </w:rPr>
  </w:style>
  <w:style w:type="character" w:styleId="Hyperlink">
    <w:name w:val="Hyperlink"/>
    <w:basedOn w:val="DefaultParagraphFont"/>
    <w:uiPriority w:val="99"/>
    <w:rsid w:val="00343D90"/>
    <w:rPr>
      <w:rFonts w:cs="Times New Roman"/>
      <w:color w:val="0000FF"/>
      <w:u w:val="single"/>
    </w:rPr>
  </w:style>
  <w:style w:type="paragraph" w:styleId="BalloonText">
    <w:name w:val="Balloon Text"/>
    <w:basedOn w:val="Normal"/>
    <w:link w:val="BalloonTextChar"/>
    <w:uiPriority w:val="99"/>
    <w:semiHidden/>
    <w:unhideWhenUsed/>
    <w:rsid w:val="00173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C86"/>
    <w:rPr>
      <w:rFonts w:ascii="Tahoma" w:hAnsi="Tahoma" w:cs="Tahoma"/>
      <w:sz w:val="16"/>
      <w:szCs w:val="16"/>
      <w:lang w:val="en-US"/>
    </w:rPr>
  </w:style>
  <w:style w:type="character" w:styleId="FollowedHyperlink">
    <w:name w:val="FollowedHyperlink"/>
    <w:basedOn w:val="DefaultParagraphFont"/>
    <w:uiPriority w:val="99"/>
    <w:semiHidden/>
    <w:unhideWhenUsed/>
    <w:rsid w:val="00797EED"/>
    <w:rPr>
      <w:color w:val="800080"/>
      <w:u w:val="single"/>
    </w:rPr>
  </w:style>
  <w:style w:type="paragraph" w:customStyle="1" w:styleId="msonormal0">
    <w:name w:val="msonormal"/>
    <w:basedOn w:val="Normal"/>
    <w:rsid w:val="00797EE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xl65">
    <w:name w:val="xl65"/>
    <w:basedOn w:val="Normal"/>
    <w:rsid w:val="00797EED"/>
    <w:pPr>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66">
    <w:name w:val="xl66"/>
    <w:basedOn w:val="Normal"/>
    <w:rsid w:val="00797EED"/>
    <w:pPr>
      <w:pBdr>
        <w:bottom w:val="single" w:sz="4" w:space="0" w:color="C0C0C0"/>
        <w:right w:val="single" w:sz="4" w:space="0" w:color="C0C0C0"/>
      </w:pBdr>
      <w:shd w:val="clear" w:color="000000" w:fill="00FFFF"/>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67">
    <w:name w:val="xl67"/>
    <w:basedOn w:val="Normal"/>
    <w:rsid w:val="00797EED"/>
    <w:pPr>
      <w:pBdr>
        <w:top w:val="single" w:sz="4" w:space="0" w:color="C0C0C0"/>
        <w:bottom w:val="single" w:sz="4" w:space="0" w:color="C0C0C0"/>
        <w:right w:val="single" w:sz="4" w:space="0" w:color="C0C0C0"/>
      </w:pBdr>
      <w:shd w:val="clear" w:color="000000" w:fill="FFFFFF"/>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68">
    <w:name w:val="xl68"/>
    <w:basedOn w:val="Normal"/>
    <w:rsid w:val="00797EED"/>
    <w:pPr>
      <w:pBdr>
        <w:left w:val="single" w:sz="4" w:space="0" w:color="C0C0C0"/>
        <w:bottom w:val="single" w:sz="4" w:space="0" w:color="C0C0C0"/>
        <w:right w:val="single" w:sz="4" w:space="0" w:color="C0C0C0"/>
      </w:pBdr>
      <w:shd w:val="clear" w:color="000000" w:fill="00FFFF"/>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69">
    <w:name w:val="xl69"/>
    <w:basedOn w:val="Normal"/>
    <w:rsid w:val="00797EED"/>
    <w:pPr>
      <w:pBdr>
        <w:top w:val="single" w:sz="4" w:space="0" w:color="C0C0C0"/>
        <w:left w:val="single" w:sz="4" w:space="0" w:color="C0C0C0"/>
        <w:bottom w:val="single" w:sz="4" w:space="0" w:color="C0C0C0"/>
        <w:right w:val="single" w:sz="4" w:space="0" w:color="C0C0C0"/>
      </w:pBdr>
      <w:shd w:val="clear" w:color="000000" w:fill="00FF00"/>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70">
    <w:name w:val="xl70"/>
    <w:basedOn w:val="Normal"/>
    <w:rsid w:val="00797EED"/>
    <w:pPr>
      <w:pBdr>
        <w:top w:val="single" w:sz="4" w:space="0" w:color="C0C0C0"/>
        <w:left w:val="single" w:sz="4" w:space="0" w:color="C0C0C0"/>
        <w:bottom w:val="single" w:sz="4" w:space="0" w:color="C0C0C0"/>
        <w:right w:val="single" w:sz="4" w:space="0" w:color="C0C0C0"/>
      </w:pBdr>
      <w:shd w:val="clear" w:color="000000" w:fill="00FF00"/>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71">
    <w:name w:val="xl71"/>
    <w:basedOn w:val="Normal"/>
    <w:rsid w:val="00797EED"/>
    <w:pPr>
      <w:pBdr>
        <w:top w:val="single" w:sz="4" w:space="0" w:color="C0C0C0"/>
        <w:left w:val="single" w:sz="4" w:space="0" w:color="C0C0C0"/>
        <w:bottom w:val="single" w:sz="4" w:space="0" w:color="C0C0C0"/>
        <w:right w:val="single" w:sz="4" w:space="0" w:color="C0C0C0"/>
      </w:pBdr>
      <w:shd w:val="clear" w:color="000000" w:fill="F5AA9C"/>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72">
    <w:name w:val="xl72"/>
    <w:basedOn w:val="Normal"/>
    <w:rsid w:val="00797EED"/>
    <w:pPr>
      <w:pBdr>
        <w:top w:val="single" w:sz="4" w:space="0" w:color="C0C0C0"/>
        <w:left w:val="single" w:sz="4" w:space="0" w:color="C0C0C0"/>
        <w:bottom w:val="single" w:sz="4" w:space="0" w:color="C0C0C0"/>
        <w:right w:val="single" w:sz="4" w:space="0" w:color="C0C0C0"/>
      </w:pBdr>
      <w:shd w:val="clear" w:color="000000" w:fill="F5AA9C"/>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73">
    <w:name w:val="xl73"/>
    <w:basedOn w:val="Normal"/>
    <w:rsid w:val="00797EED"/>
    <w:pPr>
      <w:pBdr>
        <w:top w:val="single" w:sz="4" w:space="0" w:color="C0C0C0"/>
        <w:left w:val="single" w:sz="4" w:space="0" w:color="C0C0C0"/>
        <w:bottom w:val="single" w:sz="4" w:space="0" w:color="C0C0C0"/>
        <w:right w:val="single" w:sz="4" w:space="0" w:color="C0C0C0"/>
      </w:pBdr>
      <w:shd w:val="clear" w:color="000000" w:fill="FFFFFF"/>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paragraph" w:customStyle="1" w:styleId="xl74">
    <w:name w:val="xl74"/>
    <w:basedOn w:val="Normal"/>
    <w:rsid w:val="00797EED"/>
    <w:pPr>
      <w:pBdr>
        <w:top w:val="single" w:sz="4" w:space="0" w:color="C0C0C0"/>
        <w:left w:val="single" w:sz="4" w:space="0" w:color="C0C0C0"/>
        <w:bottom w:val="single" w:sz="4" w:space="0" w:color="C0C0C0"/>
        <w:right w:val="single" w:sz="4" w:space="0" w:color="C0C0C0"/>
      </w:pBdr>
      <w:shd w:val="clear" w:color="000000" w:fill="00FF00"/>
      <w:spacing w:before="100" w:beforeAutospacing="1" w:after="100" w:afterAutospacing="1" w:line="240" w:lineRule="auto"/>
      <w:jc w:val="right"/>
      <w:textAlignment w:val="top"/>
    </w:pPr>
    <w:rPr>
      <w:rFonts w:ascii="Arial" w:eastAsia="Times New Roman" w:hAnsi="Arial" w:cs="Arial"/>
      <w:color w:val="000000"/>
      <w:sz w:val="20"/>
      <w:szCs w:val="20"/>
      <w:lang w:val="fr-FR" w:eastAsia="fr-FR"/>
    </w:rPr>
  </w:style>
  <w:style w:type="paragraph" w:customStyle="1" w:styleId="xl75">
    <w:name w:val="xl75"/>
    <w:basedOn w:val="Normal"/>
    <w:rsid w:val="00797EED"/>
    <w:pPr>
      <w:pBdr>
        <w:top w:val="single" w:sz="4" w:space="0" w:color="C0C0C0"/>
        <w:left w:val="single" w:sz="4" w:space="0" w:color="C0C0C0"/>
        <w:bottom w:val="single" w:sz="4" w:space="0" w:color="C0C0C0"/>
        <w:right w:val="single" w:sz="4" w:space="0" w:color="C0C0C0"/>
      </w:pBdr>
      <w:shd w:val="clear" w:color="000000" w:fill="FFFF00"/>
      <w:spacing w:before="100" w:beforeAutospacing="1" w:after="100" w:afterAutospacing="1" w:line="240" w:lineRule="auto"/>
      <w:textAlignment w:val="top"/>
    </w:pPr>
    <w:rPr>
      <w:rFonts w:ascii="Arial" w:eastAsia="Times New Roman" w:hAnsi="Arial" w:cs="Arial"/>
      <w:color w:val="000000"/>
      <w:sz w:val="20"/>
      <w:szCs w:val="20"/>
      <w:lang w:val="fr-FR" w:eastAsia="fr-FR"/>
    </w:rPr>
  </w:style>
  <w:style w:type="character" w:styleId="CommentReference">
    <w:name w:val="annotation reference"/>
    <w:basedOn w:val="DefaultParagraphFont"/>
    <w:uiPriority w:val="99"/>
    <w:semiHidden/>
    <w:unhideWhenUsed/>
    <w:rsid w:val="00B16CA1"/>
    <w:rPr>
      <w:sz w:val="16"/>
      <w:szCs w:val="16"/>
    </w:rPr>
  </w:style>
  <w:style w:type="paragraph" w:styleId="CommentText">
    <w:name w:val="annotation text"/>
    <w:basedOn w:val="Normal"/>
    <w:link w:val="CommentTextChar"/>
    <w:uiPriority w:val="99"/>
    <w:semiHidden/>
    <w:unhideWhenUsed/>
    <w:rsid w:val="00B16CA1"/>
    <w:pPr>
      <w:spacing w:line="240" w:lineRule="auto"/>
    </w:pPr>
    <w:rPr>
      <w:sz w:val="20"/>
      <w:szCs w:val="20"/>
      <w:lang w:val="fr-FR"/>
    </w:rPr>
  </w:style>
  <w:style w:type="character" w:customStyle="1" w:styleId="CommentTextChar">
    <w:name w:val="Comment Text Char"/>
    <w:basedOn w:val="DefaultParagraphFont"/>
    <w:link w:val="CommentText"/>
    <w:uiPriority w:val="99"/>
    <w:semiHidden/>
    <w:rsid w:val="00B16CA1"/>
    <w:rPr>
      <w:sz w:val="20"/>
      <w:szCs w:val="20"/>
    </w:rPr>
  </w:style>
  <w:style w:type="paragraph" w:styleId="CommentSubject">
    <w:name w:val="annotation subject"/>
    <w:basedOn w:val="CommentText"/>
    <w:next w:val="CommentText"/>
    <w:link w:val="CommentSubjectChar"/>
    <w:uiPriority w:val="99"/>
    <w:semiHidden/>
    <w:unhideWhenUsed/>
    <w:rsid w:val="00957A76"/>
    <w:rPr>
      <w:b/>
      <w:bCs/>
      <w:lang w:val="en-US"/>
    </w:rPr>
  </w:style>
  <w:style w:type="character" w:customStyle="1" w:styleId="CommentSubjectChar">
    <w:name w:val="Comment Subject Char"/>
    <w:basedOn w:val="CommentTextChar"/>
    <w:link w:val="CommentSubject"/>
    <w:uiPriority w:val="99"/>
    <w:semiHidden/>
    <w:rsid w:val="00957A76"/>
    <w:rPr>
      <w:b/>
      <w:bCs/>
      <w:sz w:val="20"/>
      <w:szCs w:val="20"/>
      <w:lang w:val="en-US"/>
    </w:rPr>
  </w:style>
  <w:style w:type="paragraph" w:styleId="Header">
    <w:name w:val="header"/>
    <w:basedOn w:val="Normal"/>
    <w:link w:val="HeaderChar"/>
    <w:uiPriority w:val="99"/>
    <w:unhideWhenUsed/>
    <w:rsid w:val="00FC2E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2EA3"/>
    <w:rPr>
      <w:lang w:val="en-US"/>
    </w:rPr>
  </w:style>
  <w:style w:type="paragraph" w:styleId="Footer">
    <w:name w:val="footer"/>
    <w:basedOn w:val="Normal"/>
    <w:link w:val="FooterChar"/>
    <w:uiPriority w:val="99"/>
    <w:unhideWhenUsed/>
    <w:rsid w:val="00FC2E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FC2EA3"/>
    <w:rPr>
      <w:lang w:val="en-US"/>
    </w:rPr>
  </w:style>
  <w:style w:type="paragraph" w:styleId="Bibliography">
    <w:name w:val="Bibliography"/>
    <w:basedOn w:val="Normal"/>
    <w:next w:val="Normal"/>
    <w:uiPriority w:val="37"/>
    <w:unhideWhenUsed/>
    <w:rsid w:val="00FC2EA3"/>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081518">
      <w:bodyDiv w:val="1"/>
      <w:marLeft w:val="0"/>
      <w:marRight w:val="0"/>
      <w:marTop w:val="0"/>
      <w:marBottom w:val="0"/>
      <w:divBdr>
        <w:top w:val="none" w:sz="0" w:space="0" w:color="auto"/>
        <w:left w:val="none" w:sz="0" w:space="0" w:color="auto"/>
        <w:bottom w:val="none" w:sz="0" w:space="0" w:color="auto"/>
        <w:right w:val="none" w:sz="0" w:space="0" w:color="auto"/>
      </w:divBdr>
    </w:div>
    <w:div w:id="1281646946">
      <w:bodyDiv w:val="1"/>
      <w:marLeft w:val="0"/>
      <w:marRight w:val="0"/>
      <w:marTop w:val="0"/>
      <w:marBottom w:val="0"/>
      <w:divBdr>
        <w:top w:val="none" w:sz="0" w:space="0" w:color="auto"/>
        <w:left w:val="none" w:sz="0" w:space="0" w:color="auto"/>
        <w:bottom w:val="none" w:sz="0" w:space="0" w:color="auto"/>
        <w:right w:val="none" w:sz="0" w:space="0" w:color="auto"/>
      </w:divBdr>
    </w:div>
    <w:div w:id="200011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diana.imis.athena-innovation.gr/DianaTools/index.php?r=mirpath" TargetMode="External"/><Relationship Id="rId12" Type="http://schemas.openxmlformats.org/officeDocument/2006/relationships/image" Target="media/image5.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8239</Words>
  <Characters>46306</Characters>
  <Application>Microsoft Office Word</Application>
  <DocSecurity>0</DocSecurity>
  <Lines>945</Lines>
  <Paragraphs>304</Paragraphs>
  <ScaleCrop>false</ScaleCrop>
  <HeadingPairs>
    <vt:vector size="2" baseType="variant">
      <vt:variant>
        <vt:lpstr>Titre</vt:lpstr>
      </vt:variant>
      <vt:variant>
        <vt:i4>1</vt:i4>
      </vt:variant>
    </vt:vector>
  </HeadingPairs>
  <TitlesOfParts>
    <vt:vector size="1" baseType="lpstr">
      <vt:lpstr/>
    </vt:vector>
  </TitlesOfParts>
  <Company>CEA</Company>
  <LinksUpToDate>false</LinksUpToDate>
  <CharactersWithSpaces>54241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Olivier Fogel</dc:creator>
  <cp:lastModifiedBy>S3G_Apply_Fixed_Case</cp:lastModifiedBy>
  <cp:revision>6</cp:revision>
  <cp:lastPrinted>2018-09-10T07:41:00Z</cp:lastPrinted>
  <dcterms:created xsi:type="dcterms:W3CDTF">2018-09-10T07:40:00Z</dcterms:created>
  <dcterms:modified xsi:type="dcterms:W3CDTF">2019-01-22T21:37:00Z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zotero-version="5.0.55"&gt;&lt;session id="8aiQSWoi"/&gt;&lt;style id="http://www.zotero.org/styles/arthritis-research-and-therapy" hasBibliography="1" bibliographyStyleHasBeenSet="1"/&gt;&lt;prefs&gt;&lt;pref name="fieldType" value="Field"/&gt;&lt;pref name="au</vt:lpwstr>
  </property>
  <property fmtid="{D5CDD505-2E9C-101B-9397-08002B2CF9AE}" pid="3" name="ZOTERO_PREF_2">
    <vt:lpwstr>tomaticJournalAbbreviations" value="true"/&gt;&lt;/prefs&gt;&lt;/data&gt;</vt:lpwstr>
  </property>
</Properties>
</file>