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309147" w14:textId="6A3486C2" w:rsidR="003F4C0C" w:rsidRPr="00651268" w:rsidRDefault="008D5500" w:rsidP="003F4C0C">
      <w:pPr>
        <w:rPr>
          <w:rFonts w:ascii="Times New Roman" w:hAnsi="Times New Roman" w:cs="Times New Roman"/>
        </w:rPr>
      </w:pPr>
      <w:r>
        <w:rPr>
          <w:rFonts w:ascii="Times New Roman" w:hAnsi="Times New Roman" w:cs="Times New Roman"/>
        </w:rPr>
        <w:t>Additional file 2</w:t>
      </w:r>
      <w:r w:rsidR="003F4C0C" w:rsidRPr="00651268">
        <w:rPr>
          <w:rFonts w:ascii="Times New Roman" w:hAnsi="Times New Roman" w:cs="Times New Roman"/>
        </w:rPr>
        <w:t xml:space="preserve"> Criter</w:t>
      </w:r>
      <w:bookmarkStart w:id="0" w:name="_GoBack"/>
      <w:bookmarkEnd w:id="0"/>
      <w:r w:rsidR="003F4C0C" w:rsidRPr="00651268">
        <w:rPr>
          <w:rFonts w:ascii="Times New Roman" w:hAnsi="Times New Roman" w:cs="Times New Roman"/>
        </w:rPr>
        <w:t>ia items of QUIPS tool and possible adjustments.</w:t>
      </w:r>
    </w:p>
    <w:tbl>
      <w:tblPr>
        <w:tblStyle w:val="LightList"/>
        <w:tblW w:w="10031" w:type="dxa"/>
        <w:tblLook w:val="04A0" w:firstRow="1" w:lastRow="0" w:firstColumn="1" w:lastColumn="0" w:noHBand="0" w:noVBand="1"/>
      </w:tblPr>
      <w:tblGrid>
        <w:gridCol w:w="3085"/>
        <w:gridCol w:w="6946"/>
      </w:tblGrid>
      <w:tr w:rsidR="00651268" w:rsidRPr="00651268" w14:paraId="020C8696" w14:textId="77777777" w:rsidTr="00140BC2">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85" w:type="dxa"/>
            <w:shd w:val="clear" w:color="auto" w:fill="auto"/>
            <w:hideMark/>
          </w:tcPr>
          <w:p w14:paraId="61420803" w14:textId="77777777" w:rsidR="003F4C0C" w:rsidRPr="00651268" w:rsidRDefault="003F4C0C" w:rsidP="003F4C0C">
            <w:pPr>
              <w:rPr>
                <w:b w:val="0"/>
                <w:bCs w:val="0"/>
                <w:color w:val="auto"/>
                <w:sz w:val="18"/>
                <w:szCs w:val="18"/>
              </w:rPr>
            </w:pPr>
            <w:r w:rsidRPr="00651268">
              <w:rPr>
                <w:color w:val="auto"/>
                <w:sz w:val="18"/>
                <w:szCs w:val="18"/>
              </w:rPr>
              <w:t>Biases</w:t>
            </w:r>
          </w:p>
        </w:tc>
        <w:tc>
          <w:tcPr>
            <w:tcW w:w="6946" w:type="dxa"/>
            <w:shd w:val="clear" w:color="auto" w:fill="auto"/>
            <w:hideMark/>
          </w:tcPr>
          <w:p w14:paraId="3D3A5646" w14:textId="77777777" w:rsidR="003F4C0C" w:rsidRPr="00651268" w:rsidRDefault="003F4C0C" w:rsidP="003F4C0C">
            <w:pPr>
              <w:cnfStyle w:val="100000000000" w:firstRow="1" w:lastRow="0" w:firstColumn="0" w:lastColumn="0" w:oddVBand="0" w:evenVBand="0" w:oddHBand="0" w:evenHBand="0" w:firstRowFirstColumn="0" w:firstRowLastColumn="0" w:lastRowFirstColumn="0" w:lastRowLastColumn="0"/>
              <w:rPr>
                <w:b w:val="0"/>
                <w:bCs w:val="0"/>
                <w:color w:val="auto"/>
                <w:sz w:val="18"/>
                <w:szCs w:val="18"/>
              </w:rPr>
            </w:pPr>
            <w:r w:rsidRPr="00651268">
              <w:rPr>
                <w:color w:val="auto"/>
                <w:sz w:val="18"/>
                <w:szCs w:val="18"/>
              </w:rPr>
              <w:t>Issues to consider for judging overall rating of "Risk of bias"</w:t>
            </w:r>
          </w:p>
        </w:tc>
      </w:tr>
      <w:tr w:rsidR="00651268" w:rsidRPr="00651268" w14:paraId="727BBD35" w14:textId="77777777" w:rsidTr="00140BC2">
        <w:trPr>
          <w:cnfStyle w:val="000000100000" w:firstRow="0" w:lastRow="0" w:firstColumn="0" w:lastColumn="0" w:oddVBand="0" w:evenVBand="0" w:oddHBand="1" w:evenHBand="0" w:firstRowFirstColumn="0" w:firstRowLastColumn="0" w:lastRowFirstColumn="0" w:lastRowLastColumn="0"/>
          <w:trHeight w:val="735"/>
        </w:trPr>
        <w:tc>
          <w:tcPr>
            <w:cnfStyle w:val="001000000000" w:firstRow="0" w:lastRow="0" w:firstColumn="1" w:lastColumn="0" w:oddVBand="0" w:evenVBand="0" w:oddHBand="0" w:evenHBand="0" w:firstRowFirstColumn="0" w:firstRowLastColumn="0" w:lastRowFirstColumn="0" w:lastRowLastColumn="0"/>
            <w:tcW w:w="3085" w:type="dxa"/>
            <w:hideMark/>
          </w:tcPr>
          <w:p w14:paraId="3593E316" w14:textId="77777777" w:rsidR="003F4C0C" w:rsidRPr="00651268" w:rsidRDefault="003F4C0C" w:rsidP="003F4C0C">
            <w:pPr>
              <w:rPr>
                <w:bCs w:val="0"/>
                <w:sz w:val="18"/>
                <w:szCs w:val="18"/>
              </w:rPr>
            </w:pPr>
            <w:r w:rsidRPr="00651268">
              <w:rPr>
                <w:sz w:val="18"/>
                <w:szCs w:val="18"/>
              </w:rPr>
              <w:t>1. Study Participation</w:t>
            </w:r>
          </w:p>
        </w:tc>
        <w:tc>
          <w:tcPr>
            <w:tcW w:w="6946" w:type="dxa"/>
            <w:hideMark/>
          </w:tcPr>
          <w:p w14:paraId="057B9E7C" w14:textId="77777777" w:rsidR="003F4C0C" w:rsidRPr="00651268" w:rsidRDefault="003F4C0C" w:rsidP="003F4C0C">
            <w:pPr>
              <w:cnfStyle w:val="000000100000" w:firstRow="0" w:lastRow="0" w:firstColumn="0" w:lastColumn="0" w:oddVBand="0" w:evenVBand="0" w:oddHBand="1" w:evenHBand="0" w:firstRowFirstColumn="0" w:firstRowLastColumn="0" w:lastRowFirstColumn="0" w:lastRowLastColumn="0"/>
              <w:rPr>
                <w:b/>
                <w:bCs/>
                <w:sz w:val="18"/>
                <w:szCs w:val="18"/>
              </w:rPr>
            </w:pPr>
            <w:r w:rsidRPr="00651268">
              <w:rPr>
                <w:b/>
                <w:bCs/>
                <w:sz w:val="18"/>
                <w:szCs w:val="18"/>
              </w:rPr>
              <w:t xml:space="preserve">Goal: To judge the risk of selection bias (likelihood that relationship between </w:t>
            </w:r>
            <w:r w:rsidRPr="00651268">
              <w:rPr>
                <w:b/>
                <w:bCs/>
                <w:i/>
                <w:iCs/>
                <w:sz w:val="18"/>
                <w:szCs w:val="18"/>
              </w:rPr>
              <w:t>PF</w:t>
            </w:r>
            <w:r w:rsidRPr="00651268">
              <w:rPr>
                <w:b/>
                <w:bCs/>
                <w:sz w:val="18"/>
                <w:szCs w:val="18"/>
              </w:rPr>
              <w:t xml:space="preserve"> and </w:t>
            </w:r>
            <w:r w:rsidRPr="00651268">
              <w:rPr>
                <w:b/>
                <w:bCs/>
                <w:i/>
                <w:iCs/>
                <w:sz w:val="18"/>
                <w:szCs w:val="18"/>
              </w:rPr>
              <w:t>outcome</w:t>
            </w:r>
            <w:r w:rsidRPr="00651268">
              <w:rPr>
                <w:b/>
                <w:bCs/>
                <w:sz w:val="18"/>
                <w:szCs w:val="18"/>
              </w:rPr>
              <w:t xml:space="preserve"> is different for participants and eligible non-participants).</w:t>
            </w:r>
          </w:p>
        </w:tc>
      </w:tr>
      <w:tr w:rsidR="00651268" w:rsidRPr="00651268" w14:paraId="59CFBBF5" w14:textId="77777777" w:rsidTr="00140BC2">
        <w:trPr>
          <w:trHeight w:val="450"/>
        </w:trPr>
        <w:tc>
          <w:tcPr>
            <w:cnfStyle w:val="001000000000" w:firstRow="0" w:lastRow="0" w:firstColumn="1" w:lastColumn="0" w:oddVBand="0" w:evenVBand="0" w:oddHBand="0" w:evenHBand="0" w:firstRowFirstColumn="0" w:firstRowLastColumn="0" w:lastRowFirstColumn="0" w:lastRowLastColumn="0"/>
            <w:tcW w:w="3085" w:type="dxa"/>
            <w:hideMark/>
          </w:tcPr>
          <w:p w14:paraId="10168302" w14:textId="77777777" w:rsidR="003F4C0C" w:rsidRPr="00651268" w:rsidRDefault="003F4C0C" w:rsidP="003F4C0C">
            <w:pPr>
              <w:rPr>
                <w:b w:val="0"/>
                <w:i/>
                <w:iCs/>
                <w:sz w:val="18"/>
                <w:szCs w:val="18"/>
              </w:rPr>
            </w:pPr>
            <w:r w:rsidRPr="00651268">
              <w:rPr>
                <w:i/>
                <w:iCs/>
                <w:sz w:val="18"/>
                <w:szCs w:val="18"/>
              </w:rPr>
              <w:t>1.1 Source of target population</w:t>
            </w:r>
          </w:p>
        </w:tc>
        <w:tc>
          <w:tcPr>
            <w:tcW w:w="6946" w:type="dxa"/>
            <w:hideMark/>
          </w:tcPr>
          <w:p w14:paraId="4AAC94A8" w14:textId="77777777" w:rsidR="003F4C0C" w:rsidRPr="00651268" w:rsidRDefault="003F4C0C" w:rsidP="003F4C0C">
            <w:pPr>
              <w:cnfStyle w:val="000000000000" w:firstRow="0" w:lastRow="0" w:firstColumn="0" w:lastColumn="0" w:oddVBand="0" w:evenVBand="0" w:oddHBand="0" w:evenHBand="0" w:firstRowFirstColumn="0" w:firstRowLastColumn="0" w:lastRowFirstColumn="0" w:lastRowLastColumn="0"/>
              <w:rPr>
                <w:sz w:val="18"/>
                <w:szCs w:val="18"/>
              </w:rPr>
            </w:pPr>
            <w:r w:rsidRPr="00651268">
              <w:rPr>
                <w:sz w:val="18"/>
                <w:szCs w:val="18"/>
              </w:rPr>
              <w:t>The source population or population of interest is adequately described for key characteristics (A).</w:t>
            </w:r>
          </w:p>
        </w:tc>
      </w:tr>
      <w:tr w:rsidR="00651268" w:rsidRPr="00651268" w14:paraId="0735119C" w14:textId="77777777" w:rsidTr="00140BC2">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085" w:type="dxa"/>
            <w:hideMark/>
          </w:tcPr>
          <w:p w14:paraId="116A986C" w14:textId="77777777" w:rsidR="003F4C0C" w:rsidRPr="00651268" w:rsidRDefault="003F4C0C" w:rsidP="003F4C0C">
            <w:pPr>
              <w:rPr>
                <w:b w:val="0"/>
                <w:i/>
                <w:iCs/>
                <w:sz w:val="18"/>
                <w:szCs w:val="18"/>
              </w:rPr>
            </w:pPr>
            <w:r w:rsidRPr="00651268">
              <w:rPr>
                <w:i/>
                <w:iCs/>
                <w:sz w:val="18"/>
                <w:szCs w:val="18"/>
              </w:rPr>
              <w:t>1.2 Method used to identify population</w:t>
            </w:r>
          </w:p>
        </w:tc>
        <w:tc>
          <w:tcPr>
            <w:tcW w:w="6946" w:type="dxa"/>
            <w:hideMark/>
          </w:tcPr>
          <w:p w14:paraId="416628B9" w14:textId="77777777" w:rsidR="003F4C0C" w:rsidRPr="00651268" w:rsidRDefault="003F4C0C" w:rsidP="003F4C0C">
            <w:pPr>
              <w:cnfStyle w:val="000000100000" w:firstRow="0" w:lastRow="0" w:firstColumn="0" w:lastColumn="0" w:oddVBand="0" w:evenVBand="0" w:oddHBand="1" w:evenHBand="0" w:firstRowFirstColumn="0" w:firstRowLastColumn="0" w:lastRowFirstColumn="0" w:lastRowLastColumn="0"/>
              <w:rPr>
                <w:sz w:val="18"/>
                <w:szCs w:val="18"/>
              </w:rPr>
            </w:pPr>
            <w:r w:rsidRPr="00651268">
              <w:rPr>
                <w:sz w:val="18"/>
                <w:szCs w:val="18"/>
              </w:rPr>
              <w:t>The sampling frame and recruitment are adequately described, including methods to identify the sample sufficient to limit potential bias (number and type used, e.g., referral patterns in health care)</w:t>
            </w:r>
          </w:p>
        </w:tc>
      </w:tr>
      <w:tr w:rsidR="00651268" w:rsidRPr="00651268" w14:paraId="32ACA949" w14:textId="77777777" w:rsidTr="00140BC2">
        <w:trPr>
          <w:trHeight w:val="225"/>
        </w:trPr>
        <w:tc>
          <w:tcPr>
            <w:cnfStyle w:val="001000000000" w:firstRow="0" w:lastRow="0" w:firstColumn="1" w:lastColumn="0" w:oddVBand="0" w:evenVBand="0" w:oddHBand="0" w:evenHBand="0" w:firstRowFirstColumn="0" w:firstRowLastColumn="0" w:lastRowFirstColumn="0" w:lastRowLastColumn="0"/>
            <w:tcW w:w="3085" w:type="dxa"/>
            <w:hideMark/>
          </w:tcPr>
          <w:p w14:paraId="19F13D54" w14:textId="77777777" w:rsidR="003F4C0C" w:rsidRPr="00651268" w:rsidRDefault="003F4C0C" w:rsidP="003F4C0C">
            <w:pPr>
              <w:rPr>
                <w:b w:val="0"/>
                <w:i/>
                <w:iCs/>
                <w:sz w:val="18"/>
                <w:szCs w:val="18"/>
              </w:rPr>
            </w:pPr>
            <w:r w:rsidRPr="00651268">
              <w:rPr>
                <w:i/>
                <w:iCs/>
                <w:sz w:val="18"/>
                <w:szCs w:val="18"/>
              </w:rPr>
              <w:t>1.3 Recruitment period</w:t>
            </w:r>
          </w:p>
        </w:tc>
        <w:tc>
          <w:tcPr>
            <w:tcW w:w="6946" w:type="dxa"/>
            <w:hideMark/>
          </w:tcPr>
          <w:p w14:paraId="56CA8712" w14:textId="77777777" w:rsidR="003F4C0C" w:rsidRPr="00651268" w:rsidRDefault="003F4C0C" w:rsidP="003F4C0C">
            <w:pPr>
              <w:cnfStyle w:val="000000000000" w:firstRow="0" w:lastRow="0" w:firstColumn="0" w:lastColumn="0" w:oddVBand="0" w:evenVBand="0" w:oddHBand="0" w:evenHBand="0" w:firstRowFirstColumn="0" w:firstRowLastColumn="0" w:lastRowFirstColumn="0" w:lastRowLastColumn="0"/>
              <w:rPr>
                <w:sz w:val="18"/>
                <w:szCs w:val="18"/>
              </w:rPr>
            </w:pPr>
            <w:r w:rsidRPr="00651268">
              <w:rPr>
                <w:sz w:val="18"/>
                <w:szCs w:val="18"/>
              </w:rPr>
              <w:t>Period of recruitment is adequately described</w:t>
            </w:r>
          </w:p>
        </w:tc>
      </w:tr>
      <w:tr w:rsidR="00651268" w:rsidRPr="00651268" w14:paraId="0F01D8F6" w14:textId="77777777" w:rsidTr="00140BC2">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3085" w:type="dxa"/>
            <w:hideMark/>
          </w:tcPr>
          <w:p w14:paraId="24E73701" w14:textId="77777777" w:rsidR="003F4C0C" w:rsidRPr="00651268" w:rsidRDefault="003F4C0C" w:rsidP="003F4C0C">
            <w:pPr>
              <w:rPr>
                <w:b w:val="0"/>
                <w:i/>
                <w:iCs/>
                <w:sz w:val="18"/>
                <w:szCs w:val="18"/>
              </w:rPr>
            </w:pPr>
            <w:r w:rsidRPr="00651268">
              <w:rPr>
                <w:i/>
                <w:iCs/>
                <w:sz w:val="18"/>
                <w:szCs w:val="18"/>
              </w:rPr>
              <w:t>1.4 Place of recruitment</w:t>
            </w:r>
          </w:p>
        </w:tc>
        <w:tc>
          <w:tcPr>
            <w:tcW w:w="6946" w:type="dxa"/>
            <w:hideMark/>
          </w:tcPr>
          <w:p w14:paraId="5535E0E7" w14:textId="77777777" w:rsidR="003F4C0C" w:rsidRPr="00651268" w:rsidRDefault="003F4C0C" w:rsidP="003F4C0C">
            <w:pPr>
              <w:cnfStyle w:val="000000100000" w:firstRow="0" w:lastRow="0" w:firstColumn="0" w:lastColumn="0" w:oddVBand="0" w:evenVBand="0" w:oddHBand="1" w:evenHBand="0" w:firstRowFirstColumn="0" w:firstRowLastColumn="0" w:lastRowFirstColumn="0" w:lastRowLastColumn="0"/>
              <w:rPr>
                <w:sz w:val="18"/>
                <w:szCs w:val="18"/>
              </w:rPr>
            </w:pPr>
            <w:r w:rsidRPr="00651268">
              <w:rPr>
                <w:sz w:val="18"/>
                <w:szCs w:val="18"/>
              </w:rPr>
              <w:t>Place of recruitment (setting and geographic location)  are adequately described</w:t>
            </w:r>
          </w:p>
        </w:tc>
      </w:tr>
      <w:tr w:rsidR="00651268" w:rsidRPr="00651268" w14:paraId="337105A2" w14:textId="77777777" w:rsidTr="00140BC2">
        <w:trPr>
          <w:trHeight w:val="675"/>
        </w:trPr>
        <w:tc>
          <w:tcPr>
            <w:cnfStyle w:val="001000000000" w:firstRow="0" w:lastRow="0" w:firstColumn="1" w:lastColumn="0" w:oddVBand="0" w:evenVBand="0" w:oddHBand="0" w:evenHBand="0" w:firstRowFirstColumn="0" w:firstRowLastColumn="0" w:lastRowFirstColumn="0" w:lastRowLastColumn="0"/>
            <w:tcW w:w="3085" w:type="dxa"/>
            <w:hideMark/>
          </w:tcPr>
          <w:p w14:paraId="54ECFD14" w14:textId="77777777" w:rsidR="003F4C0C" w:rsidRPr="00651268" w:rsidRDefault="003F4C0C" w:rsidP="003F4C0C">
            <w:pPr>
              <w:rPr>
                <w:b w:val="0"/>
                <w:i/>
                <w:iCs/>
                <w:sz w:val="18"/>
                <w:szCs w:val="18"/>
              </w:rPr>
            </w:pPr>
            <w:r w:rsidRPr="00651268">
              <w:rPr>
                <w:i/>
                <w:iCs/>
                <w:sz w:val="18"/>
                <w:szCs w:val="18"/>
              </w:rPr>
              <w:t>1.5 Inclusion and exclusion criteria</w:t>
            </w:r>
          </w:p>
        </w:tc>
        <w:tc>
          <w:tcPr>
            <w:tcW w:w="6946" w:type="dxa"/>
            <w:hideMark/>
          </w:tcPr>
          <w:p w14:paraId="22B5CC72" w14:textId="77777777" w:rsidR="003F4C0C" w:rsidRPr="00651268" w:rsidRDefault="003F4C0C" w:rsidP="003F4C0C">
            <w:pPr>
              <w:cnfStyle w:val="000000000000" w:firstRow="0" w:lastRow="0" w:firstColumn="0" w:lastColumn="0" w:oddVBand="0" w:evenVBand="0" w:oddHBand="0" w:evenHBand="0" w:firstRowFirstColumn="0" w:firstRowLastColumn="0" w:lastRowFirstColumn="0" w:lastRowLastColumn="0"/>
              <w:rPr>
                <w:sz w:val="18"/>
                <w:szCs w:val="18"/>
              </w:rPr>
            </w:pPr>
            <w:r w:rsidRPr="00651268">
              <w:rPr>
                <w:sz w:val="18"/>
                <w:szCs w:val="18"/>
              </w:rPr>
              <w:t>Inclusion and exclusion criteria are adequately described (e.g., including explicit diagnostic criteria or “zero time” description).</w:t>
            </w:r>
          </w:p>
        </w:tc>
      </w:tr>
      <w:tr w:rsidR="00651268" w:rsidRPr="00651268" w14:paraId="0364BCAB" w14:textId="77777777" w:rsidTr="00140BC2">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3085" w:type="dxa"/>
            <w:hideMark/>
          </w:tcPr>
          <w:p w14:paraId="11F1F7FD" w14:textId="77777777" w:rsidR="003F4C0C" w:rsidRPr="00651268" w:rsidRDefault="003F4C0C" w:rsidP="003F4C0C">
            <w:pPr>
              <w:rPr>
                <w:b w:val="0"/>
                <w:i/>
                <w:iCs/>
                <w:sz w:val="18"/>
                <w:szCs w:val="18"/>
              </w:rPr>
            </w:pPr>
            <w:r w:rsidRPr="00651268">
              <w:rPr>
                <w:i/>
                <w:iCs/>
                <w:sz w:val="18"/>
                <w:szCs w:val="18"/>
              </w:rPr>
              <w:t>1.6 Adequate study participation</w:t>
            </w:r>
          </w:p>
        </w:tc>
        <w:tc>
          <w:tcPr>
            <w:tcW w:w="6946" w:type="dxa"/>
            <w:hideMark/>
          </w:tcPr>
          <w:p w14:paraId="0AC35A1D" w14:textId="77777777" w:rsidR="003F4C0C" w:rsidRPr="00651268" w:rsidRDefault="003F4C0C" w:rsidP="003F4C0C">
            <w:pPr>
              <w:cnfStyle w:val="000000100000" w:firstRow="0" w:lastRow="0" w:firstColumn="0" w:lastColumn="0" w:oddVBand="0" w:evenVBand="0" w:oddHBand="1" w:evenHBand="0" w:firstRowFirstColumn="0" w:firstRowLastColumn="0" w:lastRowFirstColumn="0" w:lastRowLastColumn="0"/>
              <w:rPr>
                <w:sz w:val="18"/>
                <w:szCs w:val="18"/>
              </w:rPr>
            </w:pPr>
            <w:r w:rsidRPr="00651268">
              <w:rPr>
                <w:sz w:val="18"/>
                <w:szCs w:val="18"/>
              </w:rPr>
              <w:t>There is adequate (B) participation in the study by eligible individuals</w:t>
            </w:r>
          </w:p>
        </w:tc>
      </w:tr>
      <w:tr w:rsidR="00651268" w:rsidRPr="00651268" w14:paraId="20B2A603" w14:textId="77777777" w:rsidTr="00140BC2">
        <w:trPr>
          <w:trHeight w:val="450"/>
        </w:trPr>
        <w:tc>
          <w:tcPr>
            <w:cnfStyle w:val="001000000000" w:firstRow="0" w:lastRow="0" w:firstColumn="1" w:lastColumn="0" w:oddVBand="0" w:evenVBand="0" w:oddHBand="0" w:evenHBand="0" w:firstRowFirstColumn="0" w:firstRowLastColumn="0" w:lastRowFirstColumn="0" w:lastRowLastColumn="0"/>
            <w:tcW w:w="3085" w:type="dxa"/>
            <w:hideMark/>
          </w:tcPr>
          <w:p w14:paraId="4AA68D17" w14:textId="77777777" w:rsidR="003F4C0C" w:rsidRPr="00651268" w:rsidRDefault="003F4C0C" w:rsidP="003F4C0C">
            <w:pPr>
              <w:rPr>
                <w:b w:val="0"/>
                <w:i/>
                <w:iCs/>
                <w:sz w:val="18"/>
                <w:szCs w:val="18"/>
              </w:rPr>
            </w:pPr>
            <w:r w:rsidRPr="00651268">
              <w:rPr>
                <w:i/>
                <w:iCs/>
                <w:sz w:val="18"/>
                <w:szCs w:val="18"/>
              </w:rPr>
              <w:t>1.7 Baseline characteristics</w:t>
            </w:r>
          </w:p>
        </w:tc>
        <w:tc>
          <w:tcPr>
            <w:tcW w:w="6946" w:type="dxa"/>
            <w:hideMark/>
          </w:tcPr>
          <w:p w14:paraId="727F8232" w14:textId="77777777" w:rsidR="003F4C0C" w:rsidRPr="00651268" w:rsidRDefault="003F4C0C" w:rsidP="003F4C0C">
            <w:pPr>
              <w:cnfStyle w:val="000000000000" w:firstRow="0" w:lastRow="0" w:firstColumn="0" w:lastColumn="0" w:oddVBand="0" w:evenVBand="0" w:oddHBand="0" w:evenHBand="0" w:firstRowFirstColumn="0" w:firstRowLastColumn="0" w:lastRowFirstColumn="0" w:lastRowLastColumn="0"/>
              <w:rPr>
                <w:sz w:val="18"/>
                <w:szCs w:val="18"/>
              </w:rPr>
            </w:pPr>
            <w:r w:rsidRPr="00651268">
              <w:rPr>
                <w:sz w:val="18"/>
                <w:szCs w:val="18"/>
              </w:rPr>
              <w:t>The baseline study sample (i.e., individuals entering the study) is adequately described for key characteristics (A).</w:t>
            </w:r>
          </w:p>
        </w:tc>
      </w:tr>
      <w:tr w:rsidR="00651268" w:rsidRPr="00651268" w14:paraId="4F2583C2" w14:textId="77777777" w:rsidTr="00140BC2">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3085" w:type="dxa"/>
            <w:hideMark/>
          </w:tcPr>
          <w:p w14:paraId="00977F82" w14:textId="77777777" w:rsidR="003F4C0C" w:rsidRPr="00651268" w:rsidRDefault="003F4C0C" w:rsidP="003F4C0C">
            <w:pPr>
              <w:rPr>
                <w:bCs w:val="0"/>
                <w:sz w:val="18"/>
                <w:szCs w:val="18"/>
              </w:rPr>
            </w:pPr>
            <w:r w:rsidRPr="00651268">
              <w:rPr>
                <w:sz w:val="18"/>
                <w:szCs w:val="18"/>
              </w:rPr>
              <w:t>Summary Study participation</w:t>
            </w:r>
          </w:p>
        </w:tc>
        <w:tc>
          <w:tcPr>
            <w:tcW w:w="6946" w:type="dxa"/>
            <w:hideMark/>
          </w:tcPr>
          <w:p w14:paraId="4F035D77" w14:textId="77777777" w:rsidR="003F4C0C" w:rsidRPr="00651268" w:rsidRDefault="003F4C0C" w:rsidP="003F4C0C">
            <w:pPr>
              <w:cnfStyle w:val="000000100000" w:firstRow="0" w:lastRow="0" w:firstColumn="0" w:lastColumn="0" w:oddVBand="0" w:evenVBand="0" w:oddHBand="1" w:evenHBand="0" w:firstRowFirstColumn="0" w:firstRowLastColumn="0" w:lastRowFirstColumn="0" w:lastRowLastColumn="0"/>
              <w:rPr>
                <w:b/>
                <w:bCs/>
                <w:sz w:val="18"/>
                <w:szCs w:val="18"/>
              </w:rPr>
            </w:pPr>
            <w:r w:rsidRPr="00651268">
              <w:rPr>
                <w:b/>
                <w:bCs/>
                <w:sz w:val="18"/>
                <w:szCs w:val="18"/>
              </w:rPr>
              <w:t>The study sample represents the population of interest on key characteristics, sufficient to limit potential bias of the observed relationship between PF and outcome.</w:t>
            </w:r>
          </w:p>
        </w:tc>
      </w:tr>
      <w:tr w:rsidR="00651268" w:rsidRPr="00651268" w14:paraId="6122CCDA" w14:textId="77777777" w:rsidTr="00140BC2">
        <w:trPr>
          <w:trHeight w:val="240"/>
        </w:trPr>
        <w:tc>
          <w:tcPr>
            <w:cnfStyle w:val="001000000000" w:firstRow="0" w:lastRow="0" w:firstColumn="1" w:lastColumn="0" w:oddVBand="0" w:evenVBand="0" w:oddHBand="0" w:evenHBand="0" w:firstRowFirstColumn="0" w:firstRowLastColumn="0" w:lastRowFirstColumn="0" w:lastRowLastColumn="0"/>
            <w:tcW w:w="3085" w:type="dxa"/>
            <w:hideMark/>
          </w:tcPr>
          <w:p w14:paraId="6D3C937F" w14:textId="77777777" w:rsidR="003F4C0C" w:rsidRPr="00651268" w:rsidRDefault="003F4C0C" w:rsidP="003F4C0C">
            <w:pPr>
              <w:rPr>
                <w:b w:val="0"/>
                <w:bCs w:val="0"/>
                <w:sz w:val="18"/>
                <w:szCs w:val="18"/>
              </w:rPr>
            </w:pPr>
            <w:r w:rsidRPr="00651268">
              <w:rPr>
                <w:sz w:val="18"/>
                <w:szCs w:val="18"/>
              </w:rPr>
              <w:t> </w:t>
            </w:r>
          </w:p>
        </w:tc>
        <w:tc>
          <w:tcPr>
            <w:tcW w:w="6946" w:type="dxa"/>
            <w:hideMark/>
          </w:tcPr>
          <w:p w14:paraId="47F3702A" w14:textId="77777777" w:rsidR="003F4C0C" w:rsidRPr="00651268" w:rsidRDefault="003F4C0C" w:rsidP="003F4C0C">
            <w:pPr>
              <w:cnfStyle w:val="000000000000" w:firstRow="0" w:lastRow="0" w:firstColumn="0" w:lastColumn="0" w:oddVBand="0" w:evenVBand="0" w:oddHBand="0" w:evenHBand="0" w:firstRowFirstColumn="0" w:firstRowLastColumn="0" w:lastRowFirstColumn="0" w:lastRowLastColumn="0"/>
              <w:rPr>
                <w:b/>
                <w:bCs/>
                <w:sz w:val="18"/>
                <w:szCs w:val="18"/>
              </w:rPr>
            </w:pPr>
            <w:r w:rsidRPr="00651268">
              <w:rPr>
                <w:b/>
                <w:bCs/>
                <w:sz w:val="18"/>
                <w:szCs w:val="18"/>
              </w:rPr>
              <w:t> </w:t>
            </w:r>
          </w:p>
        </w:tc>
      </w:tr>
      <w:tr w:rsidR="00651268" w:rsidRPr="00651268" w14:paraId="572776C8" w14:textId="77777777" w:rsidTr="00140BC2">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3085" w:type="dxa"/>
            <w:hideMark/>
          </w:tcPr>
          <w:p w14:paraId="0F19BFFC" w14:textId="77777777" w:rsidR="003F4C0C" w:rsidRPr="00651268" w:rsidRDefault="003F4C0C" w:rsidP="003F4C0C">
            <w:pPr>
              <w:rPr>
                <w:bCs w:val="0"/>
                <w:sz w:val="18"/>
                <w:szCs w:val="18"/>
              </w:rPr>
            </w:pPr>
            <w:r w:rsidRPr="00651268">
              <w:rPr>
                <w:sz w:val="18"/>
                <w:szCs w:val="18"/>
              </w:rPr>
              <w:t xml:space="preserve">2. Study Attrition    </w:t>
            </w:r>
          </w:p>
        </w:tc>
        <w:tc>
          <w:tcPr>
            <w:tcW w:w="6946" w:type="dxa"/>
            <w:hideMark/>
          </w:tcPr>
          <w:p w14:paraId="69E6D287" w14:textId="77777777" w:rsidR="003F4C0C" w:rsidRPr="00651268" w:rsidRDefault="003F4C0C" w:rsidP="003F4C0C">
            <w:pPr>
              <w:cnfStyle w:val="000000100000" w:firstRow="0" w:lastRow="0" w:firstColumn="0" w:lastColumn="0" w:oddVBand="0" w:evenVBand="0" w:oddHBand="1" w:evenHBand="0" w:firstRowFirstColumn="0" w:firstRowLastColumn="0" w:lastRowFirstColumn="0" w:lastRowLastColumn="0"/>
              <w:rPr>
                <w:b/>
                <w:bCs/>
                <w:sz w:val="18"/>
                <w:szCs w:val="18"/>
              </w:rPr>
            </w:pPr>
            <w:r w:rsidRPr="00651268">
              <w:rPr>
                <w:b/>
                <w:bCs/>
                <w:sz w:val="18"/>
                <w:szCs w:val="18"/>
              </w:rPr>
              <w:t xml:space="preserve">Goal: To judge the risk of attrition bias (likelihood that relationship between </w:t>
            </w:r>
            <w:r w:rsidRPr="00651268">
              <w:rPr>
                <w:b/>
                <w:bCs/>
                <w:i/>
                <w:iCs/>
                <w:sz w:val="18"/>
                <w:szCs w:val="18"/>
              </w:rPr>
              <w:t>PF</w:t>
            </w:r>
            <w:r w:rsidRPr="00651268">
              <w:rPr>
                <w:b/>
                <w:bCs/>
                <w:sz w:val="18"/>
                <w:szCs w:val="18"/>
              </w:rPr>
              <w:t xml:space="preserve"> and </w:t>
            </w:r>
            <w:r w:rsidRPr="00651268">
              <w:rPr>
                <w:b/>
                <w:bCs/>
                <w:i/>
                <w:iCs/>
                <w:sz w:val="18"/>
                <w:szCs w:val="18"/>
              </w:rPr>
              <w:t>outcome</w:t>
            </w:r>
            <w:r w:rsidRPr="00651268">
              <w:rPr>
                <w:b/>
                <w:bCs/>
                <w:sz w:val="18"/>
                <w:szCs w:val="18"/>
              </w:rPr>
              <w:t xml:space="preserve"> are different for completing and non-completing participants).</w:t>
            </w:r>
          </w:p>
        </w:tc>
      </w:tr>
      <w:tr w:rsidR="00651268" w:rsidRPr="00651268" w14:paraId="347096B3" w14:textId="77777777" w:rsidTr="00140BC2">
        <w:trPr>
          <w:trHeight w:val="450"/>
        </w:trPr>
        <w:tc>
          <w:tcPr>
            <w:cnfStyle w:val="001000000000" w:firstRow="0" w:lastRow="0" w:firstColumn="1" w:lastColumn="0" w:oddVBand="0" w:evenVBand="0" w:oddHBand="0" w:evenHBand="0" w:firstRowFirstColumn="0" w:firstRowLastColumn="0" w:lastRowFirstColumn="0" w:lastRowLastColumn="0"/>
            <w:tcW w:w="3085" w:type="dxa"/>
            <w:hideMark/>
          </w:tcPr>
          <w:p w14:paraId="2004CC85" w14:textId="77777777" w:rsidR="003F4C0C" w:rsidRPr="00651268" w:rsidRDefault="003F4C0C" w:rsidP="003F4C0C">
            <w:pPr>
              <w:rPr>
                <w:b w:val="0"/>
                <w:i/>
                <w:iCs/>
                <w:sz w:val="18"/>
                <w:szCs w:val="18"/>
              </w:rPr>
            </w:pPr>
            <w:r w:rsidRPr="00651268">
              <w:rPr>
                <w:i/>
                <w:iCs/>
                <w:sz w:val="18"/>
                <w:szCs w:val="18"/>
              </w:rPr>
              <w:t>2.1 Proportion of baseline sample available for analysis</w:t>
            </w:r>
          </w:p>
        </w:tc>
        <w:tc>
          <w:tcPr>
            <w:tcW w:w="6946" w:type="dxa"/>
            <w:hideMark/>
          </w:tcPr>
          <w:p w14:paraId="7326D970" w14:textId="77777777" w:rsidR="003F4C0C" w:rsidRPr="00651268" w:rsidRDefault="003F4C0C" w:rsidP="003F4C0C">
            <w:pPr>
              <w:cnfStyle w:val="000000000000" w:firstRow="0" w:lastRow="0" w:firstColumn="0" w:lastColumn="0" w:oddVBand="0" w:evenVBand="0" w:oddHBand="0" w:evenHBand="0" w:firstRowFirstColumn="0" w:firstRowLastColumn="0" w:lastRowFirstColumn="0" w:lastRowLastColumn="0"/>
              <w:rPr>
                <w:sz w:val="18"/>
                <w:szCs w:val="18"/>
              </w:rPr>
            </w:pPr>
            <w:r w:rsidRPr="00651268">
              <w:rPr>
                <w:sz w:val="18"/>
                <w:szCs w:val="18"/>
              </w:rPr>
              <w:t>Response rate (i.e., proportion of study sample completing the study and providing outcome data) is adequate (C).</w:t>
            </w:r>
          </w:p>
        </w:tc>
      </w:tr>
      <w:tr w:rsidR="00651268" w:rsidRPr="00651268" w14:paraId="5C4EC77A" w14:textId="77777777" w:rsidTr="00140BC2">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085" w:type="dxa"/>
            <w:hideMark/>
          </w:tcPr>
          <w:p w14:paraId="5E5211FD" w14:textId="77777777" w:rsidR="003F4C0C" w:rsidRPr="00651268" w:rsidRDefault="003F4C0C" w:rsidP="003F4C0C">
            <w:pPr>
              <w:rPr>
                <w:b w:val="0"/>
                <w:i/>
                <w:iCs/>
                <w:sz w:val="18"/>
                <w:szCs w:val="18"/>
              </w:rPr>
            </w:pPr>
            <w:r w:rsidRPr="00651268">
              <w:rPr>
                <w:i/>
                <w:iCs/>
                <w:sz w:val="18"/>
                <w:szCs w:val="18"/>
              </w:rPr>
              <w:t>2.2 Attempts to collect information on participants who dropped out</w:t>
            </w:r>
          </w:p>
        </w:tc>
        <w:tc>
          <w:tcPr>
            <w:tcW w:w="6946" w:type="dxa"/>
            <w:hideMark/>
          </w:tcPr>
          <w:p w14:paraId="0D890343" w14:textId="77777777" w:rsidR="003F4C0C" w:rsidRPr="00651268" w:rsidRDefault="003F4C0C" w:rsidP="003F4C0C">
            <w:pPr>
              <w:cnfStyle w:val="000000100000" w:firstRow="0" w:lastRow="0" w:firstColumn="0" w:lastColumn="0" w:oddVBand="0" w:evenVBand="0" w:oddHBand="1" w:evenHBand="0" w:firstRowFirstColumn="0" w:firstRowLastColumn="0" w:lastRowFirstColumn="0" w:lastRowLastColumn="0"/>
              <w:rPr>
                <w:sz w:val="18"/>
                <w:szCs w:val="18"/>
              </w:rPr>
            </w:pPr>
            <w:r w:rsidRPr="00651268">
              <w:rPr>
                <w:sz w:val="18"/>
                <w:szCs w:val="18"/>
              </w:rPr>
              <w:t>Attempts to collect information on participants who dropped out of the study are described.</w:t>
            </w:r>
          </w:p>
        </w:tc>
      </w:tr>
      <w:tr w:rsidR="00651268" w:rsidRPr="00651268" w14:paraId="232DE798" w14:textId="77777777" w:rsidTr="00140BC2">
        <w:trPr>
          <w:trHeight w:val="450"/>
        </w:trPr>
        <w:tc>
          <w:tcPr>
            <w:cnfStyle w:val="001000000000" w:firstRow="0" w:lastRow="0" w:firstColumn="1" w:lastColumn="0" w:oddVBand="0" w:evenVBand="0" w:oddHBand="0" w:evenHBand="0" w:firstRowFirstColumn="0" w:firstRowLastColumn="0" w:lastRowFirstColumn="0" w:lastRowLastColumn="0"/>
            <w:tcW w:w="3085" w:type="dxa"/>
            <w:hideMark/>
          </w:tcPr>
          <w:p w14:paraId="55477E9E" w14:textId="77777777" w:rsidR="003F4C0C" w:rsidRPr="00651268" w:rsidRDefault="003F4C0C" w:rsidP="003F4C0C">
            <w:pPr>
              <w:rPr>
                <w:b w:val="0"/>
                <w:i/>
                <w:iCs/>
                <w:sz w:val="18"/>
                <w:szCs w:val="18"/>
              </w:rPr>
            </w:pPr>
            <w:r w:rsidRPr="00651268">
              <w:rPr>
                <w:i/>
                <w:iCs/>
                <w:sz w:val="18"/>
                <w:szCs w:val="18"/>
              </w:rPr>
              <w:t>2.3 Reasons and potential impact of subjects lost to follow-up</w:t>
            </w:r>
          </w:p>
        </w:tc>
        <w:tc>
          <w:tcPr>
            <w:tcW w:w="6946" w:type="dxa"/>
            <w:hideMark/>
          </w:tcPr>
          <w:p w14:paraId="32D1516F" w14:textId="77777777" w:rsidR="003F4C0C" w:rsidRPr="00651268" w:rsidRDefault="003F4C0C" w:rsidP="003F4C0C">
            <w:pPr>
              <w:cnfStyle w:val="000000000000" w:firstRow="0" w:lastRow="0" w:firstColumn="0" w:lastColumn="0" w:oddVBand="0" w:evenVBand="0" w:oddHBand="0" w:evenHBand="0" w:firstRowFirstColumn="0" w:firstRowLastColumn="0" w:lastRowFirstColumn="0" w:lastRowLastColumn="0"/>
              <w:rPr>
                <w:sz w:val="18"/>
                <w:szCs w:val="18"/>
              </w:rPr>
            </w:pPr>
            <w:r w:rsidRPr="00651268">
              <w:rPr>
                <w:sz w:val="18"/>
                <w:szCs w:val="18"/>
              </w:rPr>
              <w:t>Reasons for loss to follow-up are provided.</w:t>
            </w:r>
          </w:p>
        </w:tc>
      </w:tr>
      <w:tr w:rsidR="00651268" w:rsidRPr="00651268" w14:paraId="4497052A" w14:textId="77777777" w:rsidTr="00140BC2">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3085" w:type="dxa"/>
            <w:vMerge w:val="restart"/>
            <w:hideMark/>
          </w:tcPr>
          <w:p w14:paraId="331A64A6" w14:textId="77777777" w:rsidR="003F4C0C" w:rsidRPr="00651268" w:rsidRDefault="003F4C0C" w:rsidP="003F4C0C">
            <w:pPr>
              <w:rPr>
                <w:b w:val="0"/>
                <w:i/>
                <w:iCs/>
                <w:sz w:val="18"/>
                <w:szCs w:val="18"/>
              </w:rPr>
            </w:pPr>
            <w:r w:rsidRPr="00651268">
              <w:rPr>
                <w:i/>
                <w:iCs/>
                <w:sz w:val="18"/>
                <w:szCs w:val="18"/>
              </w:rPr>
              <w:t>2.4 Outcome and prognostic factor information on those lost to follow-up</w:t>
            </w:r>
          </w:p>
        </w:tc>
        <w:tc>
          <w:tcPr>
            <w:tcW w:w="6946" w:type="dxa"/>
            <w:hideMark/>
          </w:tcPr>
          <w:p w14:paraId="1693F126" w14:textId="77777777" w:rsidR="003F4C0C" w:rsidRPr="00651268" w:rsidRDefault="003F4C0C" w:rsidP="003F4C0C">
            <w:pPr>
              <w:cnfStyle w:val="000000100000" w:firstRow="0" w:lastRow="0" w:firstColumn="0" w:lastColumn="0" w:oddVBand="0" w:evenVBand="0" w:oddHBand="1" w:evenHBand="0" w:firstRowFirstColumn="0" w:firstRowLastColumn="0" w:lastRowFirstColumn="0" w:lastRowLastColumn="0"/>
              <w:rPr>
                <w:sz w:val="18"/>
                <w:szCs w:val="18"/>
              </w:rPr>
            </w:pPr>
            <w:r w:rsidRPr="00651268">
              <w:rPr>
                <w:sz w:val="18"/>
                <w:szCs w:val="18"/>
              </w:rPr>
              <w:t>Participants lost to follow-up are adequately described for key characteristics (A).</w:t>
            </w:r>
          </w:p>
        </w:tc>
      </w:tr>
      <w:tr w:rsidR="00651268" w:rsidRPr="00651268" w14:paraId="6ADF2A2D" w14:textId="77777777" w:rsidTr="00140BC2">
        <w:trPr>
          <w:trHeight w:val="450"/>
        </w:trPr>
        <w:tc>
          <w:tcPr>
            <w:cnfStyle w:val="001000000000" w:firstRow="0" w:lastRow="0" w:firstColumn="1" w:lastColumn="0" w:oddVBand="0" w:evenVBand="0" w:oddHBand="0" w:evenHBand="0" w:firstRowFirstColumn="0" w:firstRowLastColumn="0" w:lastRowFirstColumn="0" w:lastRowLastColumn="0"/>
            <w:tcW w:w="3085" w:type="dxa"/>
            <w:vMerge/>
            <w:hideMark/>
          </w:tcPr>
          <w:p w14:paraId="70ADE53C" w14:textId="77777777" w:rsidR="003F4C0C" w:rsidRPr="00651268" w:rsidRDefault="003F4C0C" w:rsidP="003F4C0C">
            <w:pPr>
              <w:rPr>
                <w:i/>
                <w:iCs/>
                <w:sz w:val="18"/>
                <w:szCs w:val="18"/>
              </w:rPr>
            </w:pPr>
          </w:p>
        </w:tc>
        <w:tc>
          <w:tcPr>
            <w:tcW w:w="6946" w:type="dxa"/>
            <w:hideMark/>
          </w:tcPr>
          <w:p w14:paraId="5A402BDA" w14:textId="77777777" w:rsidR="003F4C0C" w:rsidRPr="00651268" w:rsidRDefault="003F4C0C" w:rsidP="003F4C0C">
            <w:pPr>
              <w:cnfStyle w:val="000000000000" w:firstRow="0" w:lastRow="0" w:firstColumn="0" w:lastColumn="0" w:oddVBand="0" w:evenVBand="0" w:oddHBand="0" w:evenHBand="0" w:firstRowFirstColumn="0" w:firstRowLastColumn="0" w:lastRowFirstColumn="0" w:lastRowLastColumn="0"/>
              <w:rPr>
                <w:sz w:val="18"/>
                <w:szCs w:val="18"/>
              </w:rPr>
            </w:pPr>
            <w:r w:rsidRPr="00651268">
              <w:rPr>
                <w:sz w:val="18"/>
                <w:szCs w:val="18"/>
              </w:rPr>
              <w:t>There are no important differences between key characteristics (A) and outcomes in participants who completed the study and those who did not.</w:t>
            </w:r>
          </w:p>
        </w:tc>
      </w:tr>
      <w:tr w:rsidR="00651268" w:rsidRPr="00651268" w14:paraId="6E8CA866" w14:textId="77777777" w:rsidTr="00140BC2">
        <w:trPr>
          <w:cnfStyle w:val="000000100000" w:firstRow="0" w:lastRow="0" w:firstColumn="0" w:lastColumn="0" w:oddVBand="0" w:evenVBand="0" w:oddHBand="1" w:evenHBand="0" w:firstRowFirstColumn="0" w:firstRowLastColumn="0" w:lastRowFirstColumn="0" w:lastRowLastColumn="0"/>
          <w:trHeight w:val="915"/>
        </w:trPr>
        <w:tc>
          <w:tcPr>
            <w:cnfStyle w:val="001000000000" w:firstRow="0" w:lastRow="0" w:firstColumn="1" w:lastColumn="0" w:oddVBand="0" w:evenVBand="0" w:oddHBand="0" w:evenHBand="0" w:firstRowFirstColumn="0" w:firstRowLastColumn="0" w:lastRowFirstColumn="0" w:lastRowLastColumn="0"/>
            <w:tcW w:w="3085" w:type="dxa"/>
            <w:hideMark/>
          </w:tcPr>
          <w:p w14:paraId="0E61F457" w14:textId="77777777" w:rsidR="003F4C0C" w:rsidRPr="00651268" w:rsidRDefault="003F4C0C" w:rsidP="003F4C0C">
            <w:pPr>
              <w:rPr>
                <w:bCs w:val="0"/>
                <w:sz w:val="18"/>
                <w:szCs w:val="18"/>
              </w:rPr>
            </w:pPr>
            <w:r w:rsidRPr="00651268">
              <w:rPr>
                <w:sz w:val="18"/>
                <w:szCs w:val="18"/>
              </w:rPr>
              <w:t xml:space="preserve">Study Attrition Summary </w:t>
            </w:r>
          </w:p>
        </w:tc>
        <w:tc>
          <w:tcPr>
            <w:tcW w:w="6946" w:type="dxa"/>
            <w:hideMark/>
          </w:tcPr>
          <w:p w14:paraId="5EE767F9" w14:textId="77777777" w:rsidR="003F4C0C" w:rsidRPr="00651268" w:rsidRDefault="003F4C0C" w:rsidP="003F4C0C">
            <w:pPr>
              <w:cnfStyle w:val="000000100000" w:firstRow="0" w:lastRow="0" w:firstColumn="0" w:lastColumn="0" w:oddVBand="0" w:evenVBand="0" w:oddHBand="1" w:evenHBand="0" w:firstRowFirstColumn="0" w:firstRowLastColumn="0" w:lastRowFirstColumn="0" w:lastRowLastColumn="0"/>
              <w:rPr>
                <w:b/>
                <w:bCs/>
                <w:sz w:val="18"/>
                <w:szCs w:val="18"/>
              </w:rPr>
            </w:pPr>
            <w:r w:rsidRPr="00651268">
              <w:rPr>
                <w:b/>
                <w:bCs/>
                <w:sz w:val="18"/>
                <w:szCs w:val="18"/>
              </w:rPr>
              <w:t>Loss to follow-up (from baseline sample to study population analyzed) is not associated with key characteristics (i.e., the study data adequately represent the sample) sufficient to limit potential bias to the observed relationship between PF and outcome.</w:t>
            </w:r>
            <w:r w:rsidRPr="00651268">
              <w:rPr>
                <w:sz w:val="18"/>
                <w:szCs w:val="18"/>
              </w:rPr>
              <w:t xml:space="preserve"> </w:t>
            </w:r>
          </w:p>
        </w:tc>
      </w:tr>
      <w:tr w:rsidR="00651268" w:rsidRPr="00651268" w14:paraId="3A3A49A9" w14:textId="77777777" w:rsidTr="00140BC2">
        <w:trPr>
          <w:trHeight w:val="240"/>
        </w:trPr>
        <w:tc>
          <w:tcPr>
            <w:cnfStyle w:val="001000000000" w:firstRow="0" w:lastRow="0" w:firstColumn="1" w:lastColumn="0" w:oddVBand="0" w:evenVBand="0" w:oddHBand="0" w:evenHBand="0" w:firstRowFirstColumn="0" w:firstRowLastColumn="0" w:lastRowFirstColumn="0" w:lastRowLastColumn="0"/>
            <w:tcW w:w="3085" w:type="dxa"/>
            <w:hideMark/>
          </w:tcPr>
          <w:p w14:paraId="2525554E" w14:textId="77777777" w:rsidR="003F4C0C" w:rsidRPr="00651268" w:rsidRDefault="003F4C0C" w:rsidP="003F4C0C">
            <w:pPr>
              <w:rPr>
                <w:b w:val="0"/>
                <w:bCs w:val="0"/>
                <w:sz w:val="18"/>
                <w:szCs w:val="18"/>
              </w:rPr>
            </w:pPr>
            <w:r w:rsidRPr="00651268">
              <w:rPr>
                <w:sz w:val="18"/>
                <w:szCs w:val="18"/>
              </w:rPr>
              <w:t> </w:t>
            </w:r>
          </w:p>
        </w:tc>
        <w:tc>
          <w:tcPr>
            <w:tcW w:w="6946" w:type="dxa"/>
            <w:hideMark/>
          </w:tcPr>
          <w:p w14:paraId="24465BBE" w14:textId="77777777" w:rsidR="003F4C0C" w:rsidRPr="00651268" w:rsidRDefault="003F4C0C" w:rsidP="003F4C0C">
            <w:pPr>
              <w:cnfStyle w:val="000000000000" w:firstRow="0" w:lastRow="0" w:firstColumn="0" w:lastColumn="0" w:oddVBand="0" w:evenVBand="0" w:oddHBand="0" w:evenHBand="0" w:firstRowFirstColumn="0" w:firstRowLastColumn="0" w:lastRowFirstColumn="0" w:lastRowLastColumn="0"/>
              <w:rPr>
                <w:b/>
                <w:bCs/>
                <w:sz w:val="18"/>
                <w:szCs w:val="18"/>
              </w:rPr>
            </w:pPr>
            <w:r w:rsidRPr="00651268">
              <w:rPr>
                <w:b/>
                <w:bCs/>
                <w:sz w:val="18"/>
                <w:szCs w:val="18"/>
              </w:rPr>
              <w:t> </w:t>
            </w:r>
          </w:p>
        </w:tc>
      </w:tr>
      <w:tr w:rsidR="00651268" w:rsidRPr="00651268" w14:paraId="71A39B6C" w14:textId="77777777" w:rsidTr="00140BC2">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3085" w:type="dxa"/>
            <w:hideMark/>
          </w:tcPr>
          <w:p w14:paraId="6928B6BA" w14:textId="77777777" w:rsidR="003F4C0C" w:rsidRPr="00651268" w:rsidRDefault="003F4C0C" w:rsidP="003F4C0C">
            <w:pPr>
              <w:rPr>
                <w:bCs w:val="0"/>
                <w:sz w:val="18"/>
                <w:szCs w:val="18"/>
              </w:rPr>
            </w:pPr>
            <w:r w:rsidRPr="00651268">
              <w:rPr>
                <w:sz w:val="18"/>
                <w:szCs w:val="18"/>
              </w:rPr>
              <w:t>3. Prognostic Factor Measurement</w:t>
            </w:r>
          </w:p>
        </w:tc>
        <w:tc>
          <w:tcPr>
            <w:tcW w:w="6946" w:type="dxa"/>
            <w:hideMark/>
          </w:tcPr>
          <w:p w14:paraId="59F6F1B5" w14:textId="77777777" w:rsidR="003F4C0C" w:rsidRPr="00651268" w:rsidRDefault="003F4C0C" w:rsidP="003F4C0C">
            <w:pPr>
              <w:cnfStyle w:val="000000100000" w:firstRow="0" w:lastRow="0" w:firstColumn="0" w:lastColumn="0" w:oddVBand="0" w:evenVBand="0" w:oddHBand="1" w:evenHBand="0" w:firstRowFirstColumn="0" w:firstRowLastColumn="0" w:lastRowFirstColumn="0" w:lastRowLastColumn="0"/>
              <w:rPr>
                <w:b/>
                <w:bCs/>
                <w:sz w:val="18"/>
                <w:szCs w:val="18"/>
              </w:rPr>
            </w:pPr>
            <w:r w:rsidRPr="00651268">
              <w:rPr>
                <w:b/>
                <w:bCs/>
                <w:sz w:val="18"/>
                <w:szCs w:val="18"/>
              </w:rPr>
              <w:t>Goal: To judge the risk of measurement bias related to how PF was measured (differential measurement of PF related to the level of outcome).</w:t>
            </w:r>
          </w:p>
        </w:tc>
      </w:tr>
      <w:tr w:rsidR="00651268" w:rsidRPr="00651268" w14:paraId="73ACB4EF" w14:textId="77777777" w:rsidTr="00140BC2">
        <w:trPr>
          <w:trHeight w:val="450"/>
        </w:trPr>
        <w:tc>
          <w:tcPr>
            <w:cnfStyle w:val="001000000000" w:firstRow="0" w:lastRow="0" w:firstColumn="1" w:lastColumn="0" w:oddVBand="0" w:evenVBand="0" w:oddHBand="0" w:evenHBand="0" w:firstRowFirstColumn="0" w:firstRowLastColumn="0" w:lastRowFirstColumn="0" w:lastRowLastColumn="0"/>
            <w:tcW w:w="3085" w:type="dxa"/>
            <w:hideMark/>
          </w:tcPr>
          <w:p w14:paraId="2C8E62F1" w14:textId="77777777" w:rsidR="003F4C0C" w:rsidRPr="00651268" w:rsidRDefault="003F4C0C" w:rsidP="003F4C0C">
            <w:pPr>
              <w:rPr>
                <w:b w:val="0"/>
                <w:i/>
                <w:iCs/>
                <w:sz w:val="18"/>
                <w:szCs w:val="18"/>
              </w:rPr>
            </w:pPr>
            <w:r w:rsidRPr="00651268">
              <w:rPr>
                <w:i/>
                <w:iCs/>
                <w:sz w:val="18"/>
                <w:szCs w:val="18"/>
              </w:rPr>
              <w:t>3.1 Definition of the PF</w:t>
            </w:r>
          </w:p>
        </w:tc>
        <w:tc>
          <w:tcPr>
            <w:tcW w:w="6946" w:type="dxa"/>
            <w:hideMark/>
          </w:tcPr>
          <w:p w14:paraId="6D766FD2" w14:textId="77777777" w:rsidR="003F4C0C" w:rsidRPr="00651268" w:rsidRDefault="003F4C0C" w:rsidP="003F4C0C">
            <w:pPr>
              <w:cnfStyle w:val="000000000000" w:firstRow="0" w:lastRow="0" w:firstColumn="0" w:lastColumn="0" w:oddVBand="0" w:evenVBand="0" w:oddHBand="0" w:evenHBand="0" w:firstRowFirstColumn="0" w:firstRowLastColumn="0" w:lastRowFirstColumn="0" w:lastRowLastColumn="0"/>
              <w:rPr>
                <w:sz w:val="18"/>
                <w:szCs w:val="18"/>
              </w:rPr>
            </w:pPr>
            <w:r w:rsidRPr="00651268">
              <w:rPr>
                <w:sz w:val="18"/>
                <w:szCs w:val="18"/>
              </w:rPr>
              <w:t>A clear definition or description of 'PF' is provided (e.g., including dose, level, duration of exposure, and clear specification of the method of measurement).</w:t>
            </w:r>
          </w:p>
        </w:tc>
      </w:tr>
      <w:tr w:rsidR="00651268" w:rsidRPr="00651268" w14:paraId="57AA37E6" w14:textId="77777777" w:rsidTr="00140BC2">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3085" w:type="dxa"/>
            <w:vMerge w:val="restart"/>
            <w:hideMark/>
          </w:tcPr>
          <w:p w14:paraId="43A6395F" w14:textId="77777777" w:rsidR="003F4C0C" w:rsidRPr="00651268" w:rsidRDefault="003F4C0C" w:rsidP="003F4C0C">
            <w:pPr>
              <w:rPr>
                <w:b w:val="0"/>
                <w:i/>
                <w:iCs/>
                <w:sz w:val="18"/>
                <w:szCs w:val="18"/>
              </w:rPr>
            </w:pPr>
            <w:r w:rsidRPr="00651268">
              <w:rPr>
                <w:i/>
                <w:iCs/>
                <w:sz w:val="18"/>
                <w:szCs w:val="18"/>
              </w:rPr>
              <w:t>3.2 Valid and Reliable Measurement of PF</w:t>
            </w:r>
          </w:p>
        </w:tc>
        <w:tc>
          <w:tcPr>
            <w:tcW w:w="6946" w:type="dxa"/>
            <w:hideMark/>
          </w:tcPr>
          <w:p w14:paraId="5AF3D7CA" w14:textId="77777777" w:rsidR="003F4C0C" w:rsidRPr="00651268" w:rsidRDefault="003F4C0C" w:rsidP="003F4C0C">
            <w:pPr>
              <w:cnfStyle w:val="000000100000" w:firstRow="0" w:lastRow="0" w:firstColumn="0" w:lastColumn="0" w:oddVBand="0" w:evenVBand="0" w:oddHBand="1" w:evenHBand="0" w:firstRowFirstColumn="0" w:firstRowLastColumn="0" w:lastRowFirstColumn="0" w:lastRowLastColumn="0"/>
              <w:rPr>
                <w:sz w:val="18"/>
                <w:szCs w:val="18"/>
              </w:rPr>
            </w:pPr>
            <w:r w:rsidRPr="00651268">
              <w:rPr>
                <w:sz w:val="18"/>
                <w:szCs w:val="18"/>
              </w:rPr>
              <w:t>Method of PF measurement is adequately valid and reliable to limit misclassification bias (e.g., may include relevant outside sources of information on measurement properties, also characteristics, such as blind measurement and limited reliance on recall).</w:t>
            </w:r>
          </w:p>
        </w:tc>
      </w:tr>
      <w:tr w:rsidR="00651268" w:rsidRPr="00651268" w14:paraId="4CBA306D" w14:textId="77777777" w:rsidTr="00140BC2">
        <w:trPr>
          <w:trHeight w:val="225"/>
        </w:trPr>
        <w:tc>
          <w:tcPr>
            <w:cnfStyle w:val="001000000000" w:firstRow="0" w:lastRow="0" w:firstColumn="1" w:lastColumn="0" w:oddVBand="0" w:evenVBand="0" w:oddHBand="0" w:evenHBand="0" w:firstRowFirstColumn="0" w:firstRowLastColumn="0" w:lastRowFirstColumn="0" w:lastRowLastColumn="0"/>
            <w:tcW w:w="3085" w:type="dxa"/>
            <w:vMerge/>
            <w:hideMark/>
          </w:tcPr>
          <w:p w14:paraId="382F5264" w14:textId="77777777" w:rsidR="003F4C0C" w:rsidRPr="00651268" w:rsidRDefault="003F4C0C" w:rsidP="003F4C0C">
            <w:pPr>
              <w:rPr>
                <w:b w:val="0"/>
                <w:i/>
                <w:iCs/>
                <w:sz w:val="18"/>
                <w:szCs w:val="18"/>
              </w:rPr>
            </w:pPr>
          </w:p>
        </w:tc>
        <w:tc>
          <w:tcPr>
            <w:tcW w:w="6946" w:type="dxa"/>
            <w:hideMark/>
          </w:tcPr>
          <w:p w14:paraId="0A788605" w14:textId="77777777" w:rsidR="003F4C0C" w:rsidRPr="00651268" w:rsidRDefault="003F4C0C" w:rsidP="003F4C0C">
            <w:pPr>
              <w:cnfStyle w:val="000000000000" w:firstRow="0" w:lastRow="0" w:firstColumn="0" w:lastColumn="0" w:oddVBand="0" w:evenVBand="0" w:oddHBand="0" w:evenHBand="0" w:firstRowFirstColumn="0" w:firstRowLastColumn="0" w:lastRowFirstColumn="0" w:lastRowLastColumn="0"/>
              <w:rPr>
                <w:sz w:val="18"/>
                <w:szCs w:val="18"/>
              </w:rPr>
            </w:pPr>
            <w:r w:rsidRPr="00651268">
              <w:rPr>
                <w:sz w:val="18"/>
                <w:szCs w:val="18"/>
              </w:rPr>
              <w:t>Continuous variables are reported or appropriate cut-points (i.e., not data-dependent) are used.</w:t>
            </w:r>
          </w:p>
        </w:tc>
      </w:tr>
      <w:tr w:rsidR="00651268" w:rsidRPr="00651268" w14:paraId="4EDAC306" w14:textId="77777777" w:rsidTr="00140BC2">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085" w:type="dxa"/>
            <w:hideMark/>
          </w:tcPr>
          <w:p w14:paraId="1DE0B1CC" w14:textId="77777777" w:rsidR="003F4C0C" w:rsidRPr="00651268" w:rsidRDefault="003F4C0C" w:rsidP="003F4C0C">
            <w:pPr>
              <w:rPr>
                <w:b w:val="0"/>
                <w:i/>
                <w:iCs/>
                <w:sz w:val="18"/>
                <w:szCs w:val="18"/>
              </w:rPr>
            </w:pPr>
            <w:r w:rsidRPr="00651268">
              <w:rPr>
                <w:i/>
                <w:iCs/>
                <w:sz w:val="18"/>
                <w:szCs w:val="18"/>
              </w:rPr>
              <w:t>3.3 Method and Setting of PF Measurement</w:t>
            </w:r>
          </w:p>
        </w:tc>
        <w:tc>
          <w:tcPr>
            <w:tcW w:w="6946" w:type="dxa"/>
            <w:hideMark/>
          </w:tcPr>
          <w:p w14:paraId="50119DAD" w14:textId="77777777" w:rsidR="003F4C0C" w:rsidRPr="00651268" w:rsidRDefault="003F4C0C" w:rsidP="003F4C0C">
            <w:pPr>
              <w:cnfStyle w:val="000000100000" w:firstRow="0" w:lastRow="0" w:firstColumn="0" w:lastColumn="0" w:oddVBand="0" w:evenVBand="0" w:oddHBand="1" w:evenHBand="0" w:firstRowFirstColumn="0" w:firstRowLastColumn="0" w:lastRowFirstColumn="0" w:lastRowLastColumn="0"/>
              <w:rPr>
                <w:sz w:val="18"/>
                <w:szCs w:val="18"/>
              </w:rPr>
            </w:pPr>
            <w:r w:rsidRPr="00651268">
              <w:rPr>
                <w:sz w:val="18"/>
                <w:szCs w:val="18"/>
              </w:rPr>
              <w:t>The method and setting of measurement of PF is the same for all study participants.</w:t>
            </w:r>
          </w:p>
        </w:tc>
      </w:tr>
      <w:tr w:rsidR="00651268" w:rsidRPr="00651268" w14:paraId="1363D7C6" w14:textId="77777777" w:rsidTr="00140BC2">
        <w:trPr>
          <w:trHeight w:val="450"/>
        </w:trPr>
        <w:tc>
          <w:tcPr>
            <w:cnfStyle w:val="001000000000" w:firstRow="0" w:lastRow="0" w:firstColumn="1" w:lastColumn="0" w:oddVBand="0" w:evenVBand="0" w:oddHBand="0" w:evenHBand="0" w:firstRowFirstColumn="0" w:firstRowLastColumn="0" w:lastRowFirstColumn="0" w:lastRowLastColumn="0"/>
            <w:tcW w:w="3085" w:type="dxa"/>
            <w:hideMark/>
          </w:tcPr>
          <w:p w14:paraId="39789A77" w14:textId="77777777" w:rsidR="003F4C0C" w:rsidRPr="00651268" w:rsidRDefault="003F4C0C" w:rsidP="003F4C0C">
            <w:pPr>
              <w:rPr>
                <w:b w:val="0"/>
                <w:i/>
                <w:iCs/>
                <w:sz w:val="18"/>
                <w:szCs w:val="18"/>
              </w:rPr>
            </w:pPr>
            <w:r w:rsidRPr="00651268">
              <w:rPr>
                <w:i/>
                <w:iCs/>
                <w:sz w:val="18"/>
                <w:szCs w:val="18"/>
              </w:rPr>
              <w:t>3.4 Proportion of data on PF available for analysis</w:t>
            </w:r>
          </w:p>
        </w:tc>
        <w:tc>
          <w:tcPr>
            <w:tcW w:w="6946" w:type="dxa"/>
            <w:hideMark/>
          </w:tcPr>
          <w:p w14:paraId="62CAA68A" w14:textId="77777777" w:rsidR="003F4C0C" w:rsidRPr="00651268" w:rsidRDefault="003F4C0C" w:rsidP="003F4C0C">
            <w:pPr>
              <w:cnfStyle w:val="000000000000" w:firstRow="0" w:lastRow="0" w:firstColumn="0" w:lastColumn="0" w:oddVBand="0" w:evenVBand="0" w:oddHBand="0" w:evenHBand="0" w:firstRowFirstColumn="0" w:firstRowLastColumn="0" w:lastRowFirstColumn="0" w:lastRowLastColumn="0"/>
              <w:rPr>
                <w:sz w:val="18"/>
                <w:szCs w:val="18"/>
              </w:rPr>
            </w:pPr>
            <w:r w:rsidRPr="00651268">
              <w:rPr>
                <w:sz w:val="18"/>
                <w:szCs w:val="18"/>
              </w:rPr>
              <w:t>Adequate proportion of the study sample has complete data for PF variable.</w:t>
            </w:r>
          </w:p>
        </w:tc>
      </w:tr>
      <w:tr w:rsidR="00651268" w:rsidRPr="00651268" w14:paraId="0DAD7668" w14:textId="77777777" w:rsidTr="00140BC2">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3085" w:type="dxa"/>
            <w:hideMark/>
          </w:tcPr>
          <w:p w14:paraId="78598006" w14:textId="77777777" w:rsidR="003F4C0C" w:rsidRPr="00651268" w:rsidRDefault="003F4C0C" w:rsidP="003F4C0C">
            <w:pPr>
              <w:rPr>
                <w:b w:val="0"/>
                <w:i/>
                <w:iCs/>
                <w:sz w:val="18"/>
                <w:szCs w:val="18"/>
              </w:rPr>
            </w:pPr>
            <w:r w:rsidRPr="00651268">
              <w:rPr>
                <w:i/>
                <w:iCs/>
                <w:sz w:val="18"/>
                <w:szCs w:val="18"/>
              </w:rPr>
              <w:t>3.5 Method used for missing data</w:t>
            </w:r>
          </w:p>
        </w:tc>
        <w:tc>
          <w:tcPr>
            <w:tcW w:w="6946" w:type="dxa"/>
            <w:hideMark/>
          </w:tcPr>
          <w:p w14:paraId="1C914FC2" w14:textId="77777777" w:rsidR="003F4C0C" w:rsidRPr="00651268" w:rsidRDefault="003F4C0C" w:rsidP="003F4C0C">
            <w:pPr>
              <w:cnfStyle w:val="000000100000" w:firstRow="0" w:lastRow="0" w:firstColumn="0" w:lastColumn="0" w:oddVBand="0" w:evenVBand="0" w:oddHBand="1" w:evenHBand="0" w:firstRowFirstColumn="0" w:firstRowLastColumn="0" w:lastRowFirstColumn="0" w:lastRowLastColumn="0"/>
              <w:rPr>
                <w:sz w:val="18"/>
                <w:szCs w:val="18"/>
              </w:rPr>
            </w:pPr>
            <w:r w:rsidRPr="00651268">
              <w:rPr>
                <w:sz w:val="18"/>
                <w:szCs w:val="18"/>
              </w:rPr>
              <w:t>Appropriate methods of imputation are used for missing 'PF' data.</w:t>
            </w:r>
          </w:p>
        </w:tc>
      </w:tr>
      <w:tr w:rsidR="00651268" w:rsidRPr="00651268" w14:paraId="52089179" w14:textId="77777777" w:rsidTr="00140BC2">
        <w:trPr>
          <w:trHeight w:val="240"/>
        </w:trPr>
        <w:tc>
          <w:tcPr>
            <w:cnfStyle w:val="001000000000" w:firstRow="0" w:lastRow="0" w:firstColumn="1" w:lastColumn="0" w:oddVBand="0" w:evenVBand="0" w:oddHBand="0" w:evenHBand="0" w:firstRowFirstColumn="0" w:firstRowLastColumn="0" w:lastRowFirstColumn="0" w:lastRowLastColumn="0"/>
            <w:tcW w:w="3085" w:type="dxa"/>
            <w:hideMark/>
          </w:tcPr>
          <w:p w14:paraId="52A43EB5" w14:textId="77777777" w:rsidR="003F4C0C" w:rsidRPr="00651268" w:rsidRDefault="003F4C0C" w:rsidP="003F4C0C">
            <w:pPr>
              <w:rPr>
                <w:bCs w:val="0"/>
                <w:sz w:val="18"/>
                <w:szCs w:val="18"/>
              </w:rPr>
            </w:pPr>
            <w:r w:rsidRPr="00651268">
              <w:rPr>
                <w:sz w:val="18"/>
                <w:szCs w:val="18"/>
              </w:rPr>
              <w:t xml:space="preserve">PF Measurement Summary </w:t>
            </w:r>
          </w:p>
        </w:tc>
        <w:tc>
          <w:tcPr>
            <w:tcW w:w="6946" w:type="dxa"/>
            <w:hideMark/>
          </w:tcPr>
          <w:p w14:paraId="0206982C" w14:textId="77777777" w:rsidR="003F4C0C" w:rsidRPr="00651268" w:rsidRDefault="003F4C0C" w:rsidP="003F4C0C">
            <w:pPr>
              <w:cnfStyle w:val="000000000000" w:firstRow="0" w:lastRow="0" w:firstColumn="0" w:lastColumn="0" w:oddVBand="0" w:evenVBand="0" w:oddHBand="0" w:evenHBand="0" w:firstRowFirstColumn="0" w:firstRowLastColumn="0" w:lastRowFirstColumn="0" w:lastRowLastColumn="0"/>
              <w:rPr>
                <w:b/>
                <w:bCs/>
                <w:i/>
                <w:iCs/>
                <w:sz w:val="18"/>
                <w:szCs w:val="18"/>
              </w:rPr>
            </w:pPr>
            <w:r w:rsidRPr="00651268">
              <w:rPr>
                <w:b/>
                <w:bCs/>
                <w:i/>
                <w:iCs/>
                <w:sz w:val="18"/>
                <w:szCs w:val="18"/>
              </w:rPr>
              <w:t>PF</w:t>
            </w:r>
            <w:r w:rsidRPr="00651268">
              <w:rPr>
                <w:b/>
                <w:bCs/>
                <w:sz w:val="18"/>
                <w:szCs w:val="18"/>
              </w:rPr>
              <w:t xml:space="preserve"> is adequately measured in study participants to sufficiently limit potential bias.</w:t>
            </w:r>
          </w:p>
        </w:tc>
      </w:tr>
      <w:tr w:rsidR="00651268" w:rsidRPr="00651268" w14:paraId="657F0B1E" w14:textId="77777777" w:rsidTr="00140BC2">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085" w:type="dxa"/>
            <w:hideMark/>
          </w:tcPr>
          <w:p w14:paraId="2DC19F5C" w14:textId="77777777" w:rsidR="003F4C0C" w:rsidRPr="00651268" w:rsidRDefault="003F4C0C" w:rsidP="003F4C0C">
            <w:pPr>
              <w:rPr>
                <w:b w:val="0"/>
                <w:bCs w:val="0"/>
                <w:sz w:val="18"/>
                <w:szCs w:val="18"/>
              </w:rPr>
            </w:pPr>
            <w:r w:rsidRPr="00651268">
              <w:rPr>
                <w:sz w:val="18"/>
                <w:szCs w:val="18"/>
              </w:rPr>
              <w:t> </w:t>
            </w:r>
          </w:p>
        </w:tc>
        <w:tc>
          <w:tcPr>
            <w:tcW w:w="6946" w:type="dxa"/>
            <w:hideMark/>
          </w:tcPr>
          <w:p w14:paraId="780B5313" w14:textId="77777777" w:rsidR="003F4C0C" w:rsidRPr="00651268" w:rsidRDefault="003F4C0C" w:rsidP="003F4C0C">
            <w:pPr>
              <w:cnfStyle w:val="000000100000" w:firstRow="0" w:lastRow="0" w:firstColumn="0" w:lastColumn="0" w:oddVBand="0" w:evenVBand="0" w:oddHBand="1" w:evenHBand="0" w:firstRowFirstColumn="0" w:firstRowLastColumn="0" w:lastRowFirstColumn="0" w:lastRowLastColumn="0"/>
              <w:rPr>
                <w:b/>
                <w:bCs/>
                <w:i/>
                <w:iCs/>
                <w:sz w:val="18"/>
                <w:szCs w:val="18"/>
              </w:rPr>
            </w:pPr>
            <w:r w:rsidRPr="00651268">
              <w:rPr>
                <w:b/>
                <w:bCs/>
                <w:i/>
                <w:iCs/>
                <w:sz w:val="18"/>
                <w:szCs w:val="18"/>
              </w:rPr>
              <w:t> </w:t>
            </w:r>
          </w:p>
        </w:tc>
      </w:tr>
      <w:tr w:rsidR="00651268" w:rsidRPr="00651268" w14:paraId="48D061EF" w14:textId="77777777" w:rsidTr="00140BC2">
        <w:trPr>
          <w:trHeight w:val="630"/>
        </w:trPr>
        <w:tc>
          <w:tcPr>
            <w:cnfStyle w:val="001000000000" w:firstRow="0" w:lastRow="0" w:firstColumn="1" w:lastColumn="0" w:oddVBand="0" w:evenVBand="0" w:oddHBand="0" w:evenHBand="0" w:firstRowFirstColumn="0" w:firstRowLastColumn="0" w:lastRowFirstColumn="0" w:lastRowLastColumn="0"/>
            <w:tcW w:w="3085" w:type="dxa"/>
            <w:hideMark/>
          </w:tcPr>
          <w:p w14:paraId="55DA6A78" w14:textId="77777777" w:rsidR="003F4C0C" w:rsidRPr="00651268" w:rsidRDefault="003F4C0C" w:rsidP="003F4C0C">
            <w:pPr>
              <w:rPr>
                <w:bCs w:val="0"/>
                <w:sz w:val="18"/>
                <w:szCs w:val="18"/>
              </w:rPr>
            </w:pPr>
            <w:r w:rsidRPr="00651268">
              <w:rPr>
                <w:sz w:val="18"/>
                <w:szCs w:val="18"/>
              </w:rPr>
              <w:t>4. Outcome Measurement</w:t>
            </w:r>
          </w:p>
        </w:tc>
        <w:tc>
          <w:tcPr>
            <w:tcW w:w="6946" w:type="dxa"/>
            <w:hideMark/>
          </w:tcPr>
          <w:p w14:paraId="37335F00" w14:textId="77777777" w:rsidR="003F4C0C" w:rsidRPr="00651268" w:rsidRDefault="003F4C0C" w:rsidP="003F4C0C">
            <w:pPr>
              <w:cnfStyle w:val="000000000000" w:firstRow="0" w:lastRow="0" w:firstColumn="0" w:lastColumn="0" w:oddVBand="0" w:evenVBand="0" w:oddHBand="0" w:evenHBand="0" w:firstRowFirstColumn="0" w:firstRowLastColumn="0" w:lastRowFirstColumn="0" w:lastRowLastColumn="0"/>
              <w:rPr>
                <w:b/>
                <w:bCs/>
                <w:sz w:val="18"/>
                <w:szCs w:val="18"/>
              </w:rPr>
            </w:pPr>
            <w:r w:rsidRPr="00651268">
              <w:rPr>
                <w:b/>
                <w:bCs/>
                <w:sz w:val="18"/>
                <w:szCs w:val="18"/>
              </w:rPr>
              <w:t>Goal: To judge the risk of bias related to the measurement of outcome (differential measurement of outcome related to the baseline level of PF).</w:t>
            </w:r>
          </w:p>
        </w:tc>
      </w:tr>
      <w:tr w:rsidR="00651268" w:rsidRPr="00651268" w14:paraId="044151AB" w14:textId="77777777" w:rsidTr="00140BC2">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085" w:type="dxa"/>
            <w:hideMark/>
          </w:tcPr>
          <w:p w14:paraId="7D49ECFB" w14:textId="77777777" w:rsidR="003F4C0C" w:rsidRPr="00651268" w:rsidRDefault="003F4C0C" w:rsidP="003F4C0C">
            <w:pPr>
              <w:rPr>
                <w:b w:val="0"/>
                <w:i/>
                <w:iCs/>
                <w:sz w:val="18"/>
                <w:szCs w:val="18"/>
              </w:rPr>
            </w:pPr>
            <w:r w:rsidRPr="00651268">
              <w:rPr>
                <w:i/>
                <w:iCs/>
                <w:sz w:val="18"/>
                <w:szCs w:val="18"/>
              </w:rPr>
              <w:lastRenderedPageBreak/>
              <w:t>4.1 Definition of the Outcome</w:t>
            </w:r>
          </w:p>
        </w:tc>
        <w:tc>
          <w:tcPr>
            <w:tcW w:w="6946" w:type="dxa"/>
            <w:hideMark/>
          </w:tcPr>
          <w:p w14:paraId="18154D40" w14:textId="77777777" w:rsidR="003F4C0C" w:rsidRPr="00651268" w:rsidRDefault="003F4C0C" w:rsidP="003F4C0C">
            <w:pPr>
              <w:cnfStyle w:val="000000100000" w:firstRow="0" w:lastRow="0" w:firstColumn="0" w:lastColumn="0" w:oddVBand="0" w:evenVBand="0" w:oddHBand="1" w:evenHBand="0" w:firstRowFirstColumn="0" w:firstRowLastColumn="0" w:lastRowFirstColumn="0" w:lastRowLastColumn="0"/>
              <w:rPr>
                <w:sz w:val="18"/>
                <w:szCs w:val="18"/>
              </w:rPr>
            </w:pPr>
            <w:r w:rsidRPr="00651268">
              <w:rPr>
                <w:sz w:val="18"/>
                <w:szCs w:val="18"/>
              </w:rPr>
              <w:t>A clear definition of outcome is provided, including duration of follow-up and level and extent of the outcome construct.</w:t>
            </w:r>
          </w:p>
        </w:tc>
      </w:tr>
      <w:tr w:rsidR="00651268" w:rsidRPr="00651268" w14:paraId="581D23F2" w14:textId="77777777" w:rsidTr="00140BC2">
        <w:trPr>
          <w:trHeight w:val="900"/>
        </w:trPr>
        <w:tc>
          <w:tcPr>
            <w:cnfStyle w:val="001000000000" w:firstRow="0" w:lastRow="0" w:firstColumn="1" w:lastColumn="0" w:oddVBand="0" w:evenVBand="0" w:oddHBand="0" w:evenHBand="0" w:firstRowFirstColumn="0" w:firstRowLastColumn="0" w:lastRowFirstColumn="0" w:lastRowLastColumn="0"/>
            <w:tcW w:w="3085" w:type="dxa"/>
            <w:hideMark/>
          </w:tcPr>
          <w:p w14:paraId="58E6B030" w14:textId="77777777" w:rsidR="003F4C0C" w:rsidRPr="00651268" w:rsidRDefault="003F4C0C" w:rsidP="003F4C0C">
            <w:pPr>
              <w:rPr>
                <w:b w:val="0"/>
                <w:i/>
                <w:iCs/>
                <w:sz w:val="18"/>
                <w:szCs w:val="18"/>
              </w:rPr>
            </w:pPr>
            <w:r w:rsidRPr="00651268">
              <w:rPr>
                <w:i/>
                <w:iCs/>
                <w:sz w:val="18"/>
                <w:szCs w:val="18"/>
              </w:rPr>
              <w:t>4.2 Valid and Reliable Measurement of Outcome</w:t>
            </w:r>
          </w:p>
        </w:tc>
        <w:tc>
          <w:tcPr>
            <w:tcW w:w="6946" w:type="dxa"/>
            <w:hideMark/>
          </w:tcPr>
          <w:p w14:paraId="2501FB94" w14:textId="77777777" w:rsidR="003F4C0C" w:rsidRPr="00651268" w:rsidRDefault="003F4C0C" w:rsidP="003F4C0C">
            <w:pPr>
              <w:cnfStyle w:val="000000000000" w:firstRow="0" w:lastRow="0" w:firstColumn="0" w:lastColumn="0" w:oddVBand="0" w:evenVBand="0" w:oddHBand="0" w:evenHBand="0" w:firstRowFirstColumn="0" w:firstRowLastColumn="0" w:lastRowFirstColumn="0" w:lastRowLastColumn="0"/>
              <w:rPr>
                <w:sz w:val="18"/>
                <w:szCs w:val="18"/>
              </w:rPr>
            </w:pPr>
            <w:r w:rsidRPr="00651268">
              <w:rPr>
                <w:sz w:val="18"/>
                <w:szCs w:val="18"/>
              </w:rPr>
              <w:t>The method of outcome measurement used is adequately valid and reliable to limit misclassification bias (e.g., may include relevant outside sources of information on measurement properties, also characteristics, such as blind measurement and confirmation of outcome with valid and reliable test).</w:t>
            </w:r>
          </w:p>
        </w:tc>
      </w:tr>
      <w:tr w:rsidR="00651268" w:rsidRPr="00651268" w14:paraId="71EF6223" w14:textId="77777777" w:rsidTr="00140BC2">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085" w:type="dxa"/>
            <w:hideMark/>
          </w:tcPr>
          <w:p w14:paraId="70F8EA2E" w14:textId="77777777" w:rsidR="003F4C0C" w:rsidRPr="00651268" w:rsidRDefault="003F4C0C" w:rsidP="003F4C0C">
            <w:pPr>
              <w:rPr>
                <w:b w:val="0"/>
                <w:i/>
                <w:iCs/>
                <w:sz w:val="18"/>
                <w:szCs w:val="18"/>
              </w:rPr>
            </w:pPr>
            <w:r w:rsidRPr="00651268">
              <w:rPr>
                <w:i/>
                <w:iCs/>
                <w:sz w:val="18"/>
                <w:szCs w:val="18"/>
              </w:rPr>
              <w:t>4.3 Method and Setting of Outcome Measurement</w:t>
            </w:r>
          </w:p>
        </w:tc>
        <w:tc>
          <w:tcPr>
            <w:tcW w:w="6946" w:type="dxa"/>
            <w:hideMark/>
          </w:tcPr>
          <w:p w14:paraId="183CDCCD" w14:textId="77777777" w:rsidR="003F4C0C" w:rsidRPr="00651268" w:rsidRDefault="003F4C0C" w:rsidP="003F4C0C">
            <w:pPr>
              <w:cnfStyle w:val="000000100000" w:firstRow="0" w:lastRow="0" w:firstColumn="0" w:lastColumn="0" w:oddVBand="0" w:evenVBand="0" w:oddHBand="1" w:evenHBand="0" w:firstRowFirstColumn="0" w:firstRowLastColumn="0" w:lastRowFirstColumn="0" w:lastRowLastColumn="0"/>
              <w:rPr>
                <w:sz w:val="18"/>
                <w:szCs w:val="18"/>
              </w:rPr>
            </w:pPr>
            <w:r w:rsidRPr="00651268">
              <w:rPr>
                <w:sz w:val="18"/>
                <w:szCs w:val="18"/>
              </w:rPr>
              <w:t>The method and setting of outcome measurement is the same for all study participants.</w:t>
            </w:r>
          </w:p>
        </w:tc>
      </w:tr>
      <w:tr w:rsidR="00651268" w:rsidRPr="00651268" w14:paraId="2E6366ED" w14:textId="77777777" w:rsidTr="00140BC2">
        <w:trPr>
          <w:trHeight w:val="465"/>
        </w:trPr>
        <w:tc>
          <w:tcPr>
            <w:cnfStyle w:val="001000000000" w:firstRow="0" w:lastRow="0" w:firstColumn="1" w:lastColumn="0" w:oddVBand="0" w:evenVBand="0" w:oddHBand="0" w:evenHBand="0" w:firstRowFirstColumn="0" w:firstRowLastColumn="0" w:lastRowFirstColumn="0" w:lastRowLastColumn="0"/>
            <w:tcW w:w="3085" w:type="dxa"/>
            <w:hideMark/>
          </w:tcPr>
          <w:p w14:paraId="0794C55D" w14:textId="77777777" w:rsidR="003F4C0C" w:rsidRPr="00651268" w:rsidRDefault="003F4C0C" w:rsidP="003F4C0C">
            <w:pPr>
              <w:rPr>
                <w:bCs w:val="0"/>
                <w:sz w:val="18"/>
                <w:szCs w:val="18"/>
              </w:rPr>
            </w:pPr>
            <w:r w:rsidRPr="00651268">
              <w:rPr>
                <w:sz w:val="18"/>
                <w:szCs w:val="18"/>
              </w:rPr>
              <w:t>Outcome Measurement Summary</w:t>
            </w:r>
          </w:p>
        </w:tc>
        <w:tc>
          <w:tcPr>
            <w:tcW w:w="6946" w:type="dxa"/>
            <w:hideMark/>
          </w:tcPr>
          <w:p w14:paraId="716442CB" w14:textId="77777777" w:rsidR="003F4C0C" w:rsidRPr="00651268" w:rsidRDefault="003F4C0C" w:rsidP="003F4C0C">
            <w:pPr>
              <w:cnfStyle w:val="000000000000" w:firstRow="0" w:lastRow="0" w:firstColumn="0" w:lastColumn="0" w:oddVBand="0" w:evenVBand="0" w:oddHBand="0" w:evenHBand="0" w:firstRowFirstColumn="0" w:firstRowLastColumn="0" w:lastRowFirstColumn="0" w:lastRowLastColumn="0"/>
              <w:rPr>
                <w:b/>
                <w:bCs/>
                <w:i/>
                <w:iCs/>
                <w:sz w:val="18"/>
                <w:szCs w:val="18"/>
              </w:rPr>
            </w:pPr>
            <w:r w:rsidRPr="00651268">
              <w:rPr>
                <w:b/>
                <w:bCs/>
                <w:i/>
                <w:iCs/>
                <w:sz w:val="18"/>
                <w:szCs w:val="18"/>
              </w:rPr>
              <w:t>Outcome of interest</w:t>
            </w:r>
            <w:r w:rsidRPr="00651268">
              <w:rPr>
                <w:b/>
                <w:bCs/>
                <w:sz w:val="18"/>
                <w:szCs w:val="18"/>
              </w:rPr>
              <w:t xml:space="preserve"> is adequately measured in study participants to sufficiently limit potential bias.</w:t>
            </w:r>
          </w:p>
        </w:tc>
      </w:tr>
      <w:tr w:rsidR="00651268" w:rsidRPr="00651268" w14:paraId="7BED23FB" w14:textId="77777777" w:rsidTr="00140BC2">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085" w:type="dxa"/>
            <w:hideMark/>
          </w:tcPr>
          <w:p w14:paraId="36704B45" w14:textId="77777777" w:rsidR="003F4C0C" w:rsidRPr="00651268" w:rsidRDefault="003F4C0C" w:rsidP="003F4C0C">
            <w:pPr>
              <w:rPr>
                <w:b w:val="0"/>
                <w:bCs w:val="0"/>
                <w:sz w:val="18"/>
                <w:szCs w:val="18"/>
              </w:rPr>
            </w:pPr>
            <w:r w:rsidRPr="00651268">
              <w:rPr>
                <w:sz w:val="18"/>
                <w:szCs w:val="18"/>
              </w:rPr>
              <w:t> </w:t>
            </w:r>
          </w:p>
        </w:tc>
        <w:tc>
          <w:tcPr>
            <w:tcW w:w="6946" w:type="dxa"/>
            <w:hideMark/>
          </w:tcPr>
          <w:p w14:paraId="0D046040" w14:textId="77777777" w:rsidR="003F4C0C" w:rsidRPr="00651268" w:rsidRDefault="003F4C0C" w:rsidP="003F4C0C">
            <w:pPr>
              <w:cnfStyle w:val="000000100000" w:firstRow="0" w:lastRow="0" w:firstColumn="0" w:lastColumn="0" w:oddVBand="0" w:evenVBand="0" w:oddHBand="1" w:evenHBand="0" w:firstRowFirstColumn="0" w:firstRowLastColumn="0" w:lastRowFirstColumn="0" w:lastRowLastColumn="0"/>
              <w:rPr>
                <w:b/>
                <w:bCs/>
                <w:i/>
                <w:iCs/>
                <w:sz w:val="18"/>
                <w:szCs w:val="18"/>
              </w:rPr>
            </w:pPr>
            <w:r w:rsidRPr="00651268">
              <w:rPr>
                <w:b/>
                <w:bCs/>
                <w:i/>
                <w:iCs/>
                <w:sz w:val="18"/>
                <w:szCs w:val="18"/>
              </w:rPr>
              <w:t> </w:t>
            </w:r>
          </w:p>
        </w:tc>
      </w:tr>
      <w:tr w:rsidR="00651268" w:rsidRPr="00651268" w14:paraId="51AA2EFC" w14:textId="77777777" w:rsidTr="00140BC2">
        <w:trPr>
          <w:trHeight w:val="480"/>
        </w:trPr>
        <w:tc>
          <w:tcPr>
            <w:cnfStyle w:val="001000000000" w:firstRow="0" w:lastRow="0" w:firstColumn="1" w:lastColumn="0" w:oddVBand="0" w:evenVBand="0" w:oddHBand="0" w:evenHBand="0" w:firstRowFirstColumn="0" w:firstRowLastColumn="0" w:lastRowFirstColumn="0" w:lastRowLastColumn="0"/>
            <w:tcW w:w="3085" w:type="dxa"/>
            <w:hideMark/>
          </w:tcPr>
          <w:p w14:paraId="538A3EE1" w14:textId="77777777" w:rsidR="003F4C0C" w:rsidRPr="00651268" w:rsidRDefault="003F4C0C" w:rsidP="003F4C0C">
            <w:pPr>
              <w:rPr>
                <w:bCs w:val="0"/>
                <w:sz w:val="18"/>
                <w:szCs w:val="18"/>
              </w:rPr>
            </w:pPr>
            <w:r w:rsidRPr="00651268">
              <w:rPr>
                <w:sz w:val="18"/>
                <w:szCs w:val="18"/>
              </w:rPr>
              <w:t>5. Study Confounding</w:t>
            </w:r>
          </w:p>
        </w:tc>
        <w:tc>
          <w:tcPr>
            <w:tcW w:w="6946" w:type="dxa"/>
            <w:hideMark/>
          </w:tcPr>
          <w:p w14:paraId="799B30C0" w14:textId="77777777" w:rsidR="003F4C0C" w:rsidRPr="00651268" w:rsidRDefault="003F4C0C" w:rsidP="003F4C0C">
            <w:pPr>
              <w:cnfStyle w:val="000000000000" w:firstRow="0" w:lastRow="0" w:firstColumn="0" w:lastColumn="0" w:oddVBand="0" w:evenVBand="0" w:oddHBand="0" w:evenHBand="0" w:firstRowFirstColumn="0" w:firstRowLastColumn="0" w:lastRowFirstColumn="0" w:lastRowLastColumn="0"/>
              <w:rPr>
                <w:b/>
                <w:bCs/>
                <w:sz w:val="18"/>
                <w:szCs w:val="18"/>
              </w:rPr>
            </w:pPr>
            <w:r w:rsidRPr="00651268">
              <w:rPr>
                <w:b/>
                <w:bCs/>
                <w:sz w:val="18"/>
                <w:szCs w:val="18"/>
              </w:rPr>
              <w:t>Goal: To judge the risk of bias due to confounding (i.e. the effect of PF is distorted by another factor that is related to PF and outcome).</w:t>
            </w:r>
          </w:p>
        </w:tc>
      </w:tr>
      <w:tr w:rsidR="00651268" w:rsidRPr="00651268" w14:paraId="1E09C683" w14:textId="77777777" w:rsidTr="00140BC2">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085" w:type="dxa"/>
            <w:hideMark/>
          </w:tcPr>
          <w:p w14:paraId="08D94F58" w14:textId="77777777" w:rsidR="003F4C0C" w:rsidRPr="00651268" w:rsidRDefault="003F4C0C" w:rsidP="003F4C0C">
            <w:pPr>
              <w:rPr>
                <w:b w:val="0"/>
                <w:i/>
                <w:iCs/>
                <w:sz w:val="18"/>
                <w:szCs w:val="18"/>
              </w:rPr>
            </w:pPr>
            <w:r w:rsidRPr="00651268">
              <w:rPr>
                <w:i/>
                <w:iCs/>
                <w:sz w:val="18"/>
                <w:szCs w:val="18"/>
              </w:rPr>
              <w:t>5.1 Important Confounders Measured</w:t>
            </w:r>
          </w:p>
        </w:tc>
        <w:tc>
          <w:tcPr>
            <w:tcW w:w="6946" w:type="dxa"/>
            <w:hideMark/>
          </w:tcPr>
          <w:p w14:paraId="13C595A0" w14:textId="77777777" w:rsidR="003F4C0C" w:rsidRPr="00651268" w:rsidRDefault="003F4C0C" w:rsidP="003F4C0C">
            <w:pPr>
              <w:cnfStyle w:val="000000100000" w:firstRow="0" w:lastRow="0" w:firstColumn="0" w:lastColumn="0" w:oddVBand="0" w:evenVBand="0" w:oddHBand="1" w:evenHBand="0" w:firstRowFirstColumn="0" w:firstRowLastColumn="0" w:lastRowFirstColumn="0" w:lastRowLastColumn="0"/>
              <w:rPr>
                <w:sz w:val="18"/>
                <w:szCs w:val="18"/>
              </w:rPr>
            </w:pPr>
            <w:r w:rsidRPr="00651268">
              <w:rPr>
                <w:sz w:val="18"/>
                <w:szCs w:val="18"/>
              </w:rPr>
              <w:t>All important confounders, including treatments (key variables in conceptual model: (D), are measured.</w:t>
            </w:r>
          </w:p>
        </w:tc>
      </w:tr>
      <w:tr w:rsidR="00651268" w:rsidRPr="00651268" w14:paraId="3282BEC9" w14:textId="77777777" w:rsidTr="00140BC2">
        <w:trPr>
          <w:trHeight w:val="450"/>
        </w:trPr>
        <w:tc>
          <w:tcPr>
            <w:cnfStyle w:val="001000000000" w:firstRow="0" w:lastRow="0" w:firstColumn="1" w:lastColumn="0" w:oddVBand="0" w:evenVBand="0" w:oddHBand="0" w:evenHBand="0" w:firstRowFirstColumn="0" w:firstRowLastColumn="0" w:lastRowFirstColumn="0" w:lastRowLastColumn="0"/>
            <w:tcW w:w="3085" w:type="dxa"/>
            <w:hideMark/>
          </w:tcPr>
          <w:p w14:paraId="78114995" w14:textId="77777777" w:rsidR="003F4C0C" w:rsidRPr="00651268" w:rsidRDefault="003F4C0C" w:rsidP="003F4C0C">
            <w:pPr>
              <w:rPr>
                <w:b w:val="0"/>
                <w:i/>
                <w:iCs/>
                <w:sz w:val="18"/>
                <w:szCs w:val="18"/>
              </w:rPr>
            </w:pPr>
            <w:r w:rsidRPr="00651268">
              <w:rPr>
                <w:i/>
                <w:iCs/>
                <w:sz w:val="18"/>
                <w:szCs w:val="18"/>
              </w:rPr>
              <w:t>5.2 Definition of the confounding factor</w:t>
            </w:r>
          </w:p>
        </w:tc>
        <w:tc>
          <w:tcPr>
            <w:tcW w:w="6946" w:type="dxa"/>
            <w:hideMark/>
          </w:tcPr>
          <w:p w14:paraId="4A40C999" w14:textId="77777777" w:rsidR="003F4C0C" w:rsidRPr="00651268" w:rsidRDefault="003F4C0C" w:rsidP="003F4C0C">
            <w:pPr>
              <w:cnfStyle w:val="000000000000" w:firstRow="0" w:lastRow="0" w:firstColumn="0" w:lastColumn="0" w:oddVBand="0" w:evenVBand="0" w:oddHBand="0" w:evenHBand="0" w:firstRowFirstColumn="0" w:firstRowLastColumn="0" w:lastRowFirstColumn="0" w:lastRowLastColumn="0"/>
              <w:rPr>
                <w:sz w:val="18"/>
                <w:szCs w:val="18"/>
              </w:rPr>
            </w:pPr>
            <w:r w:rsidRPr="00651268">
              <w:rPr>
                <w:sz w:val="18"/>
                <w:szCs w:val="18"/>
              </w:rPr>
              <w:t>Clear definitions of the important confounders measured are provided (e.g., including dose, level, and duration of exposures).</w:t>
            </w:r>
          </w:p>
        </w:tc>
      </w:tr>
      <w:tr w:rsidR="00651268" w:rsidRPr="00651268" w14:paraId="373294CF" w14:textId="77777777" w:rsidTr="00140BC2">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3085" w:type="dxa"/>
            <w:hideMark/>
          </w:tcPr>
          <w:p w14:paraId="5CDDF471" w14:textId="77777777" w:rsidR="003F4C0C" w:rsidRPr="00651268" w:rsidRDefault="003F4C0C" w:rsidP="003F4C0C">
            <w:pPr>
              <w:rPr>
                <w:b w:val="0"/>
                <w:i/>
                <w:iCs/>
                <w:sz w:val="18"/>
                <w:szCs w:val="18"/>
              </w:rPr>
            </w:pPr>
            <w:r w:rsidRPr="00651268">
              <w:rPr>
                <w:i/>
                <w:iCs/>
                <w:sz w:val="18"/>
                <w:szCs w:val="18"/>
              </w:rPr>
              <w:t>5.3 Valid and Reliable Measurement of Confounders</w:t>
            </w:r>
          </w:p>
        </w:tc>
        <w:tc>
          <w:tcPr>
            <w:tcW w:w="6946" w:type="dxa"/>
            <w:hideMark/>
          </w:tcPr>
          <w:p w14:paraId="49F78192" w14:textId="77777777" w:rsidR="003F4C0C" w:rsidRPr="00651268" w:rsidRDefault="003F4C0C" w:rsidP="003F4C0C">
            <w:pPr>
              <w:cnfStyle w:val="000000100000" w:firstRow="0" w:lastRow="0" w:firstColumn="0" w:lastColumn="0" w:oddVBand="0" w:evenVBand="0" w:oddHBand="1" w:evenHBand="0" w:firstRowFirstColumn="0" w:firstRowLastColumn="0" w:lastRowFirstColumn="0" w:lastRowLastColumn="0"/>
              <w:rPr>
                <w:sz w:val="18"/>
                <w:szCs w:val="18"/>
              </w:rPr>
            </w:pPr>
            <w:r w:rsidRPr="00651268">
              <w:rPr>
                <w:sz w:val="18"/>
                <w:szCs w:val="18"/>
              </w:rPr>
              <w:t>Measurement of all important confounders is adequately valid and reliable (e.g., may include relevant outside sources of information on measurement properties, also characteristics, such as blind measurement and limited reliance on recall).</w:t>
            </w:r>
          </w:p>
        </w:tc>
      </w:tr>
      <w:tr w:rsidR="00651268" w:rsidRPr="00651268" w14:paraId="240C22AF" w14:textId="77777777" w:rsidTr="00140BC2">
        <w:trPr>
          <w:trHeight w:val="450"/>
        </w:trPr>
        <w:tc>
          <w:tcPr>
            <w:cnfStyle w:val="001000000000" w:firstRow="0" w:lastRow="0" w:firstColumn="1" w:lastColumn="0" w:oddVBand="0" w:evenVBand="0" w:oddHBand="0" w:evenHBand="0" w:firstRowFirstColumn="0" w:firstRowLastColumn="0" w:lastRowFirstColumn="0" w:lastRowLastColumn="0"/>
            <w:tcW w:w="3085" w:type="dxa"/>
            <w:hideMark/>
          </w:tcPr>
          <w:p w14:paraId="2A8389B7" w14:textId="77777777" w:rsidR="003F4C0C" w:rsidRPr="00651268" w:rsidRDefault="003F4C0C" w:rsidP="003F4C0C">
            <w:pPr>
              <w:rPr>
                <w:b w:val="0"/>
                <w:i/>
                <w:iCs/>
                <w:sz w:val="18"/>
                <w:szCs w:val="18"/>
              </w:rPr>
            </w:pPr>
            <w:r w:rsidRPr="00651268">
              <w:rPr>
                <w:i/>
                <w:iCs/>
                <w:sz w:val="18"/>
                <w:szCs w:val="18"/>
              </w:rPr>
              <w:t>5.4 Method and Setting of Confounding Measurement</w:t>
            </w:r>
          </w:p>
        </w:tc>
        <w:tc>
          <w:tcPr>
            <w:tcW w:w="6946" w:type="dxa"/>
            <w:hideMark/>
          </w:tcPr>
          <w:p w14:paraId="1346F405" w14:textId="77777777" w:rsidR="003F4C0C" w:rsidRPr="00651268" w:rsidRDefault="003F4C0C" w:rsidP="003F4C0C">
            <w:pPr>
              <w:cnfStyle w:val="000000000000" w:firstRow="0" w:lastRow="0" w:firstColumn="0" w:lastColumn="0" w:oddVBand="0" w:evenVBand="0" w:oddHBand="0" w:evenHBand="0" w:firstRowFirstColumn="0" w:firstRowLastColumn="0" w:lastRowFirstColumn="0" w:lastRowLastColumn="0"/>
              <w:rPr>
                <w:sz w:val="18"/>
                <w:szCs w:val="18"/>
              </w:rPr>
            </w:pPr>
            <w:r w:rsidRPr="00651268">
              <w:rPr>
                <w:sz w:val="18"/>
                <w:szCs w:val="18"/>
              </w:rPr>
              <w:t>The method and setting of confounding measurement are the same for all study participants.</w:t>
            </w:r>
          </w:p>
        </w:tc>
      </w:tr>
      <w:tr w:rsidR="00651268" w:rsidRPr="00651268" w14:paraId="28BCE6E3" w14:textId="77777777" w:rsidTr="00140BC2">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3085" w:type="dxa"/>
            <w:hideMark/>
          </w:tcPr>
          <w:p w14:paraId="009B5644" w14:textId="77777777" w:rsidR="003F4C0C" w:rsidRPr="00651268" w:rsidRDefault="003F4C0C" w:rsidP="003F4C0C">
            <w:pPr>
              <w:rPr>
                <w:b w:val="0"/>
                <w:i/>
                <w:iCs/>
                <w:sz w:val="18"/>
                <w:szCs w:val="18"/>
              </w:rPr>
            </w:pPr>
            <w:r w:rsidRPr="00651268">
              <w:rPr>
                <w:i/>
                <w:iCs/>
                <w:sz w:val="18"/>
                <w:szCs w:val="18"/>
              </w:rPr>
              <w:t>5.5 Method used for missing data</w:t>
            </w:r>
          </w:p>
        </w:tc>
        <w:tc>
          <w:tcPr>
            <w:tcW w:w="6946" w:type="dxa"/>
            <w:hideMark/>
          </w:tcPr>
          <w:p w14:paraId="62491524" w14:textId="77777777" w:rsidR="003F4C0C" w:rsidRPr="00651268" w:rsidRDefault="003F4C0C" w:rsidP="003F4C0C">
            <w:pPr>
              <w:cnfStyle w:val="000000100000" w:firstRow="0" w:lastRow="0" w:firstColumn="0" w:lastColumn="0" w:oddVBand="0" w:evenVBand="0" w:oddHBand="1" w:evenHBand="0" w:firstRowFirstColumn="0" w:firstRowLastColumn="0" w:lastRowFirstColumn="0" w:lastRowLastColumn="0"/>
              <w:rPr>
                <w:sz w:val="18"/>
                <w:szCs w:val="18"/>
              </w:rPr>
            </w:pPr>
            <w:r w:rsidRPr="00651268">
              <w:rPr>
                <w:sz w:val="18"/>
                <w:szCs w:val="18"/>
              </w:rPr>
              <w:t>Appropriate methods are used if imputation is used for missing confounder data.</w:t>
            </w:r>
          </w:p>
        </w:tc>
      </w:tr>
      <w:tr w:rsidR="00651268" w:rsidRPr="00651268" w14:paraId="5E4C9F64" w14:textId="77777777" w:rsidTr="00140BC2">
        <w:trPr>
          <w:trHeight w:val="450"/>
        </w:trPr>
        <w:tc>
          <w:tcPr>
            <w:cnfStyle w:val="001000000000" w:firstRow="0" w:lastRow="0" w:firstColumn="1" w:lastColumn="0" w:oddVBand="0" w:evenVBand="0" w:oddHBand="0" w:evenHBand="0" w:firstRowFirstColumn="0" w:firstRowLastColumn="0" w:lastRowFirstColumn="0" w:lastRowLastColumn="0"/>
            <w:tcW w:w="3085" w:type="dxa"/>
            <w:vMerge w:val="restart"/>
            <w:hideMark/>
          </w:tcPr>
          <w:p w14:paraId="71F26B7A" w14:textId="77777777" w:rsidR="003F4C0C" w:rsidRPr="00651268" w:rsidRDefault="003F4C0C" w:rsidP="003F4C0C">
            <w:pPr>
              <w:rPr>
                <w:b w:val="0"/>
                <w:i/>
                <w:iCs/>
                <w:sz w:val="18"/>
                <w:szCs w:val="18"/>
              </w:rPr>
            </w:pPr>
            <w:r w:rsidRPr="00651268">
              <w:rPr>
                <w:i/>
                <w:iCs/>
                <w:sz w:val="18"/>
                <w:szCs w:val="18"/>
              </w:rPr>
              <w:t>5.6 Appropriate Accounting for Confounding</w:t>
            </w:r>
          </w:p>
        </w:tc>
        <w:tc>
          <w:tcPr>
            <w:tcW w:w="6946" w:type="dxa"/>
            <w:hideMark/>
          </w:tcPr>
          <w:p w14:paraId="7C121F6D" w14:textId="77777777" w:rsidR="003F4C0C" w:rsidRPr="00651268" w:rsidRDefault="003F4C0C" w:rsidP="003F4C0C">
            <w:pPr>
              <w:cnfStyle w:val="000000000000" w:firstRow="0" w:lastRow="0" w:firstColumn="0" w:lastColumn="0" w:oddVBand="0" w:evenVBand="0" w:oddHBand="0" w:evenHBand="0" w:firstRowFirstColumn="0" w:firstRowLastColumn="0" w:lastRowFirstColumn="0" w:lastRowLastColumn="0"/>
              <w:rPr>
                <w:sz w:val="18"/>
                <w:szCs w:val="18"/>
              </w:rPr>
            </w:pPr>
            <w:r w:rsidRPr="00651268">
              <w:rPr>
                <w:sz w:val="18"/>
                <w:szCs w:val="18"/>
              </w:rPr>
              <w:t>Important potential confounders are accounted for in the study design (e.g., matching for key variables, stratification, or initial assembly of comparable groups).</w:t>
            </w:r>
          </w:p>
        </w:tc>
      </w:tr>
      <w:tr w:rsidR="00651268" w:rsidRPr="00651268" w14:paraId="22855B57" w14:textId="77777777" w:rsidTr="00140BC2">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3085" w:type="dxa"/>
            <w:vMerge/>
            <w:hideMark/>
          </w:tcPr>
          <w:p w14:paraId="3C8BB6D7" w14:textId="77777777" w:rsidR="003F4C0C" w:rsidRPr="00651268" w:rsidRDefault="003F4C0C" w:rsidP="003F4C0C">
            <w:pPr>
              <w:rPr>
                <w:i/>
                <w:iCs/>
                <w:sz w:val="18"/>
                <w:szCs w:val="18"/>
              </w:rPr>
            </w:pPr>
          </w:p>
        </w:tc>
        <w:tc>
          <w:tcPr>
            <w:tcW w:w="6946" w:type="dxa"/>
            <w:hideMark/>
          </w:tcPr>
          <w:p w14:paraId="56F22514" w14:textId="77777777" w:rsidR="003F4C0C" w:rsidRPr="00651268" w:rsidRDefault="003F4C0C" w:rsidP="003F4C0C">
            <w:pPr>
              <w:cnfStyle w:val="000000100000" w:firstRow="0" w:lastRow="0" w:firstColumn="0" w:lastColumn="0" w:oddVBand="0" w:evenVBand="0" w:oddHBand="1" w:evenHBand="0" w:firstRowFirstColumn="0" w:firstRowLastColumn="0" w:lastRowFirstColumn="0" w:lastRowLastColumn="0"/>
              <w:rPr>
                <w:sz w:val="18"/>
                <w:szCs w:val="18"/>
              </w:rPr>
            </w:pPr>
            <w:r w:rsidRPr="00651268">
              <w:rPr>
                <w:sz w:val="18"/>
                <w:szCs w:val="18"/>
              </w:rPr>
              <w:t>Important potential confounders are accounted for in the analysis (i.e., appropriate adjustment).</w:t>
            </w:r>
          </w:p>
        </w:tc>
      </w:tr>
      <w:tr w:rsidR="00651268" w:rsidRPr="00651268" w14:paraId="737DD4D6" w14:textId="77777777" w:rsidTr="00140BC2">
        <w:trPr>
          <w:trHeight w:val="465"/>
        </w:trPr>
        <w:tc>
          <w:tcPr>
            <w:cnfStyle w:val="001000000000" w:firstRow="0" w:lastRow="0" w:firstColumn="1" w:lastColumn="0" w:oddVBand="0" w:evenVBand="0" w:oddHBand="0" w:evenHBand="0" w:firstRowFirstColumn="0" w:firstRowLastColumn="0" w:lastRowFirstColumn="0" w:lastRowLastColumn="0"/>
            <w:tcW w:w="3085" w:type="dxa"/>
            <w:hideMark/>
          </w:tcPr>
          <w:p w14:paraId="710DE1BC" w14:textId="77777777" w:rsidR="003F4C0C" w:rsidRPr="00651268" w:rsidRDefault="003F4C0C" w:rsidP="003F4C0C">
            <w:pPr>
              <w:rPr>
                <w:bCs w:val="0"/>
                <w:sz w:val="18"/>
                <w:szCs w:val="18"/>
              </w:rPr>
            </w:pPr>
            <w:r w:rsidRPr="00651268">
              <w:rPr>
                <w:sz w:val="18"/>
                <w:szCs w:val="18"/>
              </w:rPr>
              <w:t xml:space="preserve">Study Confounding Summary </w:t>
            </w:r>
          </w:p>
        </w:tc>
        <w:tc>
          <w:tcPr>
            <w:tcW w:w="6946" w:type="dxa"/>
            <w:hideMark/>
          </w:tcPr>
          <w:p w14:paraId="3C99CDED" w14:textId="77777777" w:rsidR="003F4C0C" w:rsidRPr="00651268" w:rsidRDefault="003F4C0C" w:rsidP="003F4C0C">
            <w:pPr>
              <w:cnfStyle w:val="000000000000" w:firstRow="0" w:lastRow="0" w:firstColumn="0" w:lastColumn="0" w:oddVBand="0" w:evenVBand="0" w:oddHBand="0" w:evenHBand="0" w:firstRowFirstColumn="0" w:firstRowLastColumn="0" w:lastRowFirstColumn="0" w:lastRowLastColumn="0"/>
              <w:rPr>
                <w:b/>
                <w:bCs/>
                <w:sz w:val="18"/>
                <w:szCs w:val="18"/>
              </w:rPr>
            </w:pPr>
            <w:r w:rsidRPr="00651268">
              <w:rPr>
                <w:b/>
                <w:bCs/>
                <w:sz w:val="18"/>
                <w:szCs w:val="18"/>
              </w:rPr>
              <w:t xml:space="preserve">Important potential confounders are appropriately accounted for, limiting potential bias with respect to the relationship between </w:t>
            </w:r>
            <w:r w:rsidRPr="00651268">
              <w:rPr>
                <w:b/>
                <w:bCs/>
                <w:i/>
                <w:iCs/>
                <w:sz w:val="18"/>
                <w:szCs w:val="18"/>
              </w:rPr>
              <w:t>PF</w:t>
            </w:r>
            <w:r w:rsidRPr="00651268">
              <w:rPr>
                <w:b/>
                <w:bCs/>
                <w:sz w:val="18"/>
                <w:szCs w:val="18"/>
              </w:rPr>
              <w:t xml:space="preserve"> and </w:t>
            </w:r>
            <w:r w:rsidRPr="00651268">
              <w:rPr>
                <w:b/>
                <w:bCs/>
                <w:i/>
                <w:iCs/>
                <w:sz w:val="18"/>
                <w:szCs w:val="18"/>
              </w:rPr>
              <w:t>outcome</w:t>
            </w:r>
            <w:r w:rsidRPr="00651268">
              <w:rPr>
                <w:b/>
                <w:bCs/>
                <w:sz w:val="18"/>
                <w:szCs w:val="18"/>
              </w:rPr>
              <w:t>.</w:t>
            </w:r>
          </w:p>
        </w:tc>
      </w:tr>
      <w:tr w:rsidR="00651268" w:rsidRPr="00651268" w14:paraId="7305289B" w14:textId="77777777" w:rsidTr="00140BC2">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085" w:type="dxa"/>
            <w:hideMark/>
          </w:tcPr>
          <w:p w14:paraId="3D5B0A7B" w14:textId="77777777" w:rsidR="003F4C0C" w:rsidRPr="00651268" w:rsidRDefault="003F4C0C" w:rsidP="003F4C0C">
            <w:pPr>
              <w:rPr>
                <w:b w:val="0"/>
                <w:bCs w:val="0"/>
                <w:sz w:val="18"/>
                <w:szCs w:val="18"/>
              </w:rPr>
            </w:pPr>
            <w:r w:rsidRPr="00651268">
              <w:rPr>
                <w:sz w:val="18"/>
                <w:szCs w:val="18"/>
              </w:rPr>
              <w:t> </w:t>
            </w:r>
          </w:p>
        </w:tc>
        <w:tc>
          <w:tcPr>
            <w:tcW w:w="6946" w:type="dxa"/>
            <w:hideMark/>
          </w:tcPr>
          <w:p w14:paraId="68ADEA5F" w14:textId="77777777" w:rsidR="003F4C0C" w:rsidRPr="00651268" w:rsidRDefault="003F4C0C" w:rsidP="003F4C0C">
            <w:pPr>
              <w:cnfStyle w:val="000000100000" w:firstRow="0" w:lastRow="0" w:firstColumn="0" w:lastColumn="0" w:oddVBand="0" w:evenVBand="0" w:oddHBand="1" w:evenHBand="0" w:firstRowFirstColumn="0" w:firstRowLastColumn="0" w:lastRowFirstColumn="0" w:lastRowLastColumn="0"/>
              <w:rPr>
                <w:b/>
                <w:bCs/>
                <w:sz w:val="18"/>
                <w:szCs w:val="18"/>
              </w:rPr>
            </w:pPr>
            <w:r w:rsidRPr="00651268">
              <w:rPr>
                <w:b/>
                <w:bCs/>
                <w:sz w:val="18"/>
                <w:szCs w:val="18"/>
              </w:rPr>
              <w:t> </w:t>
            </w:r>
          </w:p>
        </w:tc>
      </w:tr>
      <w:tr w:rsidR="00651268" w:rsidRPr="00651268" w14:paraId="262DE13B" w14:textId="77777777" w:rsidTr="00140BC2">
        <w:trPr>
          <w:trHeight w:val="534"/>
        </w:trPr>
        <w:tc>
          <w:tcPr>
            <w:cnfStyle w:val="001000000000" w:firstRow="0" w:lastRow="0" w:firstColumn="1" w:lastColumn="0" w:oddVBand="0" w:evenVBand="0" w:oddHBand="0" w:evenHBand="0" w:firstRowFirstColumn="0" w:firstRowLastColumn="0" w:lastRowFirstColumn="0" w:lastRowLastColumn="0"/>
            <w:tcW w:w="3085" w:type="dxa"/>
            <w:hideMark/>
          </w:tcPr>
          <w:p w14:paraId="27F3CA4E" w14:textId="77777777" w:rsidR="003F4C0C" w:rsidRPr="00651268" w:rsidRDefault="003F4C0C" w:rsidP="003F4C0C">
            <w:pPr>
              <w:rPr>
                <w:bCs w:val="0"/>
                <w:sz w:val="18"/>
                <w:szCs w:val="18"/>
              </w:rPr>
            </w:pPr>
            <w:r w:rsidRPr="00651268">
              <w:rPr>
                <w:sz w:val="18"/>
                <w:szCs w:val="18"/>
              </w:rPr>
              <w:t>6. Statistical Analysis and Reporting</w:t>
            </w:r>
          </w:p>
        </w:tc>
        <w:tc>
          <w:tcPr>
            <w:tcW w:w="6946" w:type="dxa"/>
            <w:hideMark/>
          </w:tcPr>
          <w:p w14:paraId="4EA4DFE3" w14:textId="77777777" w:rsidR="003F4C0C" w:rsidRPr="00651268" w:rsidRDefault="003F4C0C" w:rsidP="003F4C0C">
            <w:pPr>
              <w:cnfStyle w:val="000000000000" w:firstRow="0" w:lastRow="0" w:firstColumn="0" w:lastColumn="0" w:oddVBand="0" w:evenVBand="0" w:oddHBand="0" w:evenHBand="0" w:firstRowFirstColumn="0" w:firstRowLastColumn="0" w:lastRowFirstColumn="0" w:lastRowLastColumn="0"/>
              <w:rPr>
                <w:b/>
                <w:bCs/>
                <w:sz w:val="18"/>
                <w:szCs w:val="18"/>
              </w:rPr>
            </w:pPr>
            <w:r w:rsidRPr="00651268">
              <w:rPr>
                <w:b/>
                <w:bCs/>
                <w:sz w:val="18"/>
                <w:szCs w:val="18"/>
              </w:rPr>
              <w:t>Goal: To judge the risk of bias related to the statistical analysis and presentation of results.</w:t>
            </w:r>
          </w:p>
        </w:tc>
      </w:tr>
      <w:tr w:rsidR="00651268" w:rsidRPr="00651268" w14:paraId="451541EC" w14:textId="77777777" w:rsidTr="00140BC2">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3085" w:type="dxa"/>
            <w:hideMark/>
          </w:tcPr>
          <w:p w14:paraId="49265F23" w14:textId="77777777" w:rsidR="003F4C0C" w:rsidRPr="00651268" w:rsidRDefault="003F4C0C" w:rsidP="003F4C0C">
            <w:pPr>
              <w:rPr>
                <w:b w:val="0"/>
                <w:i/>
                <w:iCs/>
                <w:sz w:val="18"/>
                <w:szCs w:val="18"/>
              </w:rPr>
            </w:pPr>
            <w:r w:rsidRPr="00651268">
              <w:rPr>
                <w:i/>
                <w:iCs/>
                <w:sz w:val="18"/>
                <w:szCs w:val="18"/>
              </w:rPr>
              <w:t>6.1 Presentation of analytical strategy</w:t>
            </w:r>
          </w:p>
        </w:tc>
        <w:tc>
          <w:tcPr>
            <w:tcW w:w="6946" w:type="dxa"/>
            <w:hideMark/>
          </w:tcPr>
          <w:p w14:paraId="601C9F39" w14:textId="77777777" w:rsidR="003F4C0C" w:rsidRPr="00651268" w:rsidRDefault="003F4C0C" w:rsidP="003F4C0C">
            <w:pPr>
              <w:cnfStyle w:val="000000100000" w:firstRow="0" w:lastRow="0" w:firstColumn="0" w:lastColumn="0" w:oddVBand="0" w:evenVBand="0" w:oddHBand="1" w:evenHBand="0" w:firstRowFirstColumn="0" w:firstRowLastColumn="0" w:lastRowFirstColumn="0" w:lastRowLastColumn="0"/>
              <w:rPr>
                <w:sz w:val="18"/>
                <w:szCs w:val="18"/>
              </w:rPr>
            </w:pPr>
            <w:r w:rsidRPr="00651268">
              <w:rPr>
                <w:sz w:val="18"/>
                <w:szCs w:val="18"/>
              </w:rPr>
              <w:t>There is sufficient presentation of data to assess the adequacy of the analysis.</w:t>
            </w:r>
          </w:p>
        </w:tc>
      </w:tr>
      <w:tr w:rsidR="00651268" w:rsidRPr="00651268" w14:paraId="67CEA8B5" w14:textId="77777777" w:rsidTr="00140BC2">
        <w:trPr>
          <w:trHeight w:val="450"/>
        </w:trPr>
        <w:tc>
          <w:tcPr>
            <w:cnfStyle w:val="001000000000" w:firstRow="0" w:lastRow="0" w:firstColumn="1" w:lastColumn="0" w:oddVBand="0" w:evenVBand="0" w:oddHBand="0" w:evenHBand="0" w:firstRowFirstColumn="0" w:firstRowLastColumn="0" w:lastRowFirstColumn="0" w:lastRowLastColumn="0"/>
            <w:tcW w:w="3085" w:type="dxa"/>
            <w:vMerge w:val="restart"/>
            <w:hideMark/>
          </w:tcPr>
          <w:p w14:paraId="5B8ECA02" w14:textId="77777777" w:rsidR="003F4C0C" w:rsidRPr="00651268" w:rsidRDefault="003F4C0C" w:rsidP="003F4C0C">
            <w:pPr>
              <w:rPr>
                <w:b w:val="0"/>
                <w:i/>
                <w:iCs/>
                <w:sz w:val="18"/>
                <w:szCs w:val="18"/>
              </w:rPr>
            </w:pPr>
            <w:r w:rsidRPr="00651268">
              <w:rPr>
                <w:i/>
                <w:iCs/>
                <w:sz w:val="18"/>
                <w:szCs w:val="18"/>
              </w:rPr>
              <w:t>6.2 Model development strategy</w:t>
            </w:r>
          </w:p>
        </w:tc>
        <w:tc>
          <w:tcPr>
            <w:tcW w:w="6946" w:type="dxa"/>
            <w:hideMark/>
          </w:tcPr>
          <w:p w14:paraId="0FE88F50" w14:textId="77777777" w:rsidR="003F4C0C" w:rsidRPr="00651268" w:rsidRDefault="003F4C0C" w:rsidP="003F4C0C">
            <w:pPr>
              <w:cnfStyle w:val="000000000000" w:firstRow="0" w:lastRow="0" w:firstColumn="0" w:lastColumn="0" w:oddVBand="0" w:evenVBand="0" w:oddHBand="0" w:evenHBand="0" w:firstRowFirstColumn="0" w:firstRowLastColumn="0" w:lastRowFirstColumn="0" w:lastRowLastColumn="0"/>
              <w:rPr>
                <w:sz w:val="18"/>
                <w:szCs w:val="18"/>
              </w:rPr>
            </w:pPr>
            <w:r w:rsidRPr="00651268">
              <w:rPr>
                <w:sz w:val="18"/>
                <w:szCs w:val="18"/>
              </w:rPr>
              <w:t>The strategy for model building (i.e., inclusion of variables in the statistical model) is appropriate and is based on a conceptual framework or model.</w:t>
            </w:r>
          </w:p>
        </w:tc>
      </w:tr>
      <w:tr w:rsidR="00651268" w:rsidRPr="00651268" w14:paraId="7349DB49" w14:textId="77777777" w:rsidTr="00140BC2">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3085" w:type="dxa"/>
            <w:vMerge/>
            <w:hideMark/>
          </w:tcPr>
          <w:p w14:paraId="7E2B0DE1" w14:textId="77777777" w:rsidR="003F4C0C" w:rsidRPr="00651268" w:rsidRDefault="003F4C0C" w:rsidP="003F4C0C">
            <w:pPr>
              <w:rPr>
                <w:b w:val="0"/>
                <w:i/>
                <w:iCs/>
                <w:sz w:val="18"/>
                <w:szCs w:val="18"/>
              </w:rPr>
            </w:pPr>
          </w:p>
        </w:tc>
        <w:tc>
          <w:tcPr>
            <w:tcW w:w="6946" w:type="dxa"/>
            <w:hideMark/>
          </w:tcPr>
          <w:p w14:paraId="54C060AE" w14:textId="77777777" w:rsidR="003F4C0C" w:rsidRPr="00651268" w:rsidRDefault="003F4C0C" w:rsidP="003F4C0C">
            <w:pPr>
              <w:cnfStyle w:val="000000100000" w:firstRow="0" w:lastRow="0" w:firstColumn="0" w:lastColumn="0" w:oddVBand="0" w:evenVBand="0" w:oddHBand="1" w:evenHBand="0" w:firstRowFirstColumn="0" w:firstRowLastColumn="0" w:lastRowFirstColumn="0" w:lastRowLastColumn="0"/>
              <w:rPr>
                <w:sz w:val="18"/>
                <w:szCs w:val="18"/>
              </w:rPr>
            </w:pPr>
            <w:r w:rsidRPr="00651268">
              <w:rPr>
                <w:sz w:val="18"/>
                <w:szCs w:val="18"/>
              </w:rPr>
              <w:t>The selected statistical model is adequate for the design of the study.</w:t>
            </w:r>
          </w:p>
        </w:tc>
      </w:tr>
      <w:tr w:rsidR="00651268" w:rsidRPr="00651268" w14:paraId="4F2AEB74" w14:textId="77777777" w:rsidTr="00140BC2">
        <w:trPr>
          <w:trHeight w:val="225"/>
        </w:trPr>
        <w:tc>
          <w:tcPr>
            <w:cnfStyle w:val="001000000000" w:firstRow="0" w:lastRow="0" w:firstColumn="1" w:lastColumn="0" w:oddVBand="0" w:evenVBand="0" w:oddHBand="0" w:evenHBand="0" w:firstRowFirstColumn="0" w:firstRowLastColumn="0" w:lastRowFirstColumn="0" w:lastRowLastColumn="0"/>
            <w:tcW w:w="3085" w:type="dxa"/>
            <w:hideMark/>
          </w:tcPr>
          <w:p w14:paraId="736E64D2" w14:textId="77777777" w:rsidR="003F4C0C" w:rsidRPr="00651268" w:rsidRDefault="003F4C0C" w:rsidP="003F4C0C">
            <w:pPr>
              <w:rPr>
                <w:b w:val="0"/>
                <w:i/>
                <w:iCs/>
                <w:sz w:val="18"/>
                <w:szCs w:val="18"/>
              </w:rPr>
            </w:pPr>
            <w:r w:rsidRPr="00651268">
              <w:rPr>
                <w:i/>
                <w:iCs/>
                <w:sz w:val="18"/>
                <w:szCs w:val="18"/>
              </w:rPr>
              <w:t>6.3 Reporting of results</w:t>
            </w:r>
          </w:p>
        </w:tc>
        <w:tc>
          <w:tcPr>
            <w:tcW w:w="6946" w:type="dxa"/>
            <w:hideMark/>
          </w:tcPr>
          <w:p w14:paraId="6D1EBC4E" w14:textId="77777777" w:rsidR="003F4C0C" w:rsidRPr="00651268" w:rsidRDefault="003F4C0C" w:rsidP="003F4C0C">
            <w:pPr>
              <w:cnfStyle w:val="000000000000" w:firstRow="0" w:lastRow="0" w:firstColumn="0" w:lastColumn="0" w:oddVBand="0" w:evenVBand="0" w:oddHBand="0" w:evenHBand="0" w:firstRowFirstColumn="0" w:firstRowLastColumn="0" w:lastRowFirstColumn="0" w:lastRowLastColumn="0"/>
              <w:rPr>
                <w:sz w:val="18"/>
                <w:szCs w:val="18"/>
              </w:rPr>
            </w:pPr>
            <w:r w:rsidRPr="00651268">
              <w:rPr>
                <w:sz w:val="18"/>
                <w:szCs w:val="18"/>
              </w:rPr>
              <w:t>There is no selective reporting of results.</w:t>
            </w:r>
          </w:p>
        </w:tc>
      </w:tr>
      <w:tr w:rsidR="00651268" w:rsidRPr="00651268" w14:paraId="135CF5F5" w14:textId="77777777" w:rsidTr="00140BC2">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085" w:type="dxa"/>
            <w:hideMark/>
          </w:tcPr>
          <w:p w14:paraId="3C97A95E" w14:textId="77777777" w:rsidR="003F4C0C" w:rsidRPr="00651268" w:rsidRDefault="003F4C0C" w:rsidP="003F4C0C">
            <w:pPr>
              <w:rPr>
                <w:bCs w:val="0"/>
                <w:sz w:val="18"/>
                <w:szCs w:val="18"/>
              </w:rPr>
            </w:pPr>
            <w:r w:rsidRPr="00651268">
              <w:rPr>
                <w:sz w:val="18"/>
                <w:szCs w:val="18"/>
              </w:rPr>
              <w:t>Statistical Analysis and Presentation Summary</w:t>
            </w:r>
          </w:p>
        </w:tc>
        <w:tc>
          <w:tcPr>
            <w:tcW w:w="6946" w:type="dxa"/>
            <w:hideMark/>
          </w:tcPr>
          <w:p w14:paraId="21494807" w14:textId="77777777" w:rsidR="003F4C0C" w:rsidRPr="00651268" w:rsidRDefault="003F4C0C" w:rsidP="003F4C0C">
            <w:pPr>
              <w:cnfStyle w:val="000000100000" w:firstRow="0" w:lastRow="0" w:firstColumn="0" w:lastColumn="0" w:oddVBand="0" w:evenVBand="0" w:oddHBand="1" w:evenHBand="0" w:firstRowFirstColumn="0" w:firstRowLastColumn="0" w:lastRowFirstColumn="0" w:lastRowLastColumn="0"/>
              <w:rPr>
                <w:b/>
                <w:bCs/>
                <w:sz w:val="18"/>
                <w:szCs w:val="18"/>
              </w:rPr>
            </w:pPr>
            <w:r w:rsidRPr="00651268">
              <w:rPr>
                <w:b/>
                <w:bCs/>
                <w:sz w:val="18"/>
                <w:szCs w:val="18"/>
              </w:rPr>
              <w:t>The statistical analysis is appropriate for the design of the study, limiting potential for presentation of invalid or spurious results.</w:t>
            </w:r>
          </w:p>
        </w:tc>
      </w:tr>
    </w:tbl>
    <w:p w14:paraId="7054816E" w14:textId="77777777" w:rsidR="003F4C0C" w:rsidRPr="00651268" w:rsidRDefault="003F4C0C" w:rsidP="003F4C0C">
      <w:pPr>
        <w:rPr>
          <w:rFonts w:ascii="Times New Roman" w:hAnsi="Times New Roman" w:cs="Times New Roman"/>
          <w:sz w:val="20"/>
          <w:szCs w:val="20"/>
        </w:rPr>
      </w:pPr>
      <w:r w:rsidRPr="00651268">
        <w:rPr>
          <w:rFonts w:ascii="Times New Roman" w:hAnsi="Times New Roman" w:cs="Times New Roman"/>
          <w:sz w:val="20"/>
          <w:szCs w:val="20"/>
        </w:rPr>
        <w:t>(A) Key characteristics: age and gender</w:t>
      </w:r>
    </w:p>
    <w:p w14:paraId="74F65976" w14:textId="77777777" w:rsidR="003F4C0C" w:rsidRPr="00651268" w:rsidRDefault="003F4C0C" w:rsidP="003F4C0C">
      <w:pPr>
        <w:rPr>
          <w:rFonts w:ascii="Times New Roman" w:hAnsi="Times New Roman" w:cs="Times New Roman"/>
          <w:sz w:val="20"/>
          <w:szCs w:val="20"/>
        </w:rPr>
      </w:pPr>
      <w:r w:rsidRPr="00651268">
        <w:rPr>
          <w:rFonts w:ascii="Times New Roman" w:hAnsi="Times New Roman" w:cs="Times New Roman"/>
          <w:sz w:val="20"/>
          <w:szCs w:val="20"/>
        </w:rPr>
        <w:t>(B) Participation rate: &gt;20%</w:t>
      </w:r>
    </w:p>
    <w:p w14:paraId="29D2F17D" w14:textId="77777777" w:rsidR="003F4C0C" w:rsidRPr="00651268" w:rsidRDefault="003F4C0C" w:rsidP="003F4C0C">
      <w:pPr>
        <w:rPr>
          <w:rFonts w:ascii="Times New Roman" w:hAnsi="Times New Roman" w:cs="Times New Roman"/>
          <w:sz w:val="20"/>
          <w:szCs w:val="20"/>
        </w:rPr>
      </w:pPr>
      <w:r w:rsidRPr="00651268">
        <w:rPr>
          <w:rFonts w:ascii="Times New Roman" w:hAnsi="Times New Roman" w:cs="Times New Roman"/>
          <w:sz w:val="20"/>
          <w:szCs w:val="20"/>
        </w:rPr>
        <w:t>(C) Response rate: &gt;60%</w:t>
      </w:r>
    </w:p>
    <w:p w14:paraId="5423959E" w14:textId="732E519D" w:rsidR="008C69F4" w:rsidRPr="00651268" w:rsidRDefault="003F4C0C" w:rsidP="005A6C25">
      <w:r w:rsidRPr="00651268">
        <w:rPr>
          <w:rFonts w:ascii="Times New Roman" w:hAnsi="Times New Roman" w:cs="Times New Roman"/>
          <w:sz w:val="20"/>
          <w:szCs w:val="20"/>
        </w:rPr>
        <w:t xml:space="preserve">(D) Important potential confounders: at least age, and gender </w:t>
      </w:r>
    </w:p>
    <w:sectPr w:rsidR="008C69F4" w:rsidRPr="00651268" w:rsidSect="003A1A9B">
      <w:footerReference w:type="default" r:id="rId9"/>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33A5CD" w14:textId="77777777" w:rsidR="00B9486C" w:rsidRDefault="00B9486C" w:rsidP="007D62D0">
      <w:pPr>
        <w:spacing w:after="0" w:line="240" w:lineRule="auto"/>
      </w:pPr>
      <w:r>
        <w:separator/>
      </w:r>
    </w:p>
  </w:endnote>
  <w:endnote w:type="continuationSeparator" w:id="0">
    <w:p w14:paraId="763650ED" w14:textId="77777777" w:rsidR="00B9486C" w:rsidRDefault="00B9486C" w:rsidP="007D6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9701036"/>
      <w:docPartObj>
        <w:docPartGallery w:val="Page Numbers (Bottom of Page)"/>
        <w:docPartUnique/>
      </w:docPartObj>
    </w:sdtPr>
    <w:sdtEndPr>
      <w:rPr>
        <w:noProof/>
      </w:rPr>
    </w:sdtEndPr>
    <w:sdtContent>
      <w:p w14:paraId="548001EA" w14:textId="6BE0D6AF" w:rsidR="00B9486C" w:rsidRDefault="00B9486C">
        <w:pPr>
          <w:pStyle w:val="Footer"/>
          <w:jc w:val="right"/>
        </w:pPr>
        <w:r>
          <w:fldChar w:fldCharType="begin"/>
        </w:r>
        <w:r>
          <w:instrText xml:space="preserve"> PAGE   \* MERGEFORMAT </w:instrText>
        </w:r>
        <w:r>
          <w:fldChar w:fldCharType="separate"/>
        </w:r>
        <w:r w:rsidR="008D5500">
          <w:rPr>
            <w:noProof/>
          </w:rPr>
          <w:t>2</w:t>
        </w:r>
        <w:r>
          <w:rPr>
            <w:noProof/>
          </w:rPr>
          <w:fldChar w:fldCharType="end"/>
        </w:r>
      </w:p>
    </w:sdtContent>
  </w:sdt>
  <w:p w14:paraId="4948F149" w14:textId="77777777" w:rsidR="00B9486C" w:rsidRDefault="00B948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D16ED9" w14:textId="77777777" w:rsidR="00B9486C" w:rsidRDefault="00B9486C" w:rsidP="007D62D0">
      <w:pPr>
        <w:spacing w:after="0" w:line="240" w:lineRule="auto"/>
      </w:pPr>
      <w:r>
        <w:separator/>
      </w:r>
    </w:p>
  </w:footnote>
  <w:footnote w:type="continuationSeparator" w:id="0">
    <w:p w14:paraId="4B635A58" w14:textId="77777777" w:rsidR="00B9486C" w:rsidRDefault="00B9486C" w:rsidP="007D62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92AF9"/>
    <w:multiLevelType w:val="hybridMultilevel"/>
    <w:tmpl w:val="C2EA3AF6"/>
    <w:lvl w:ilvl="0" w:tplc="3BEC37D2">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794A04"/>
    <w:multiLevelType w:val="hybridMultilevel"/>
    <w:tmpl w:val="4472297E"/>
    <w:lvl w:ilvl="0" w:tplc="A40A83FE">
      <w:start w:val="7"/>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A27737"/>
    <w:multiLevelType w:val="hybridMultilevel"/>
    <w:tmpl w:val="5F141B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9440AB"/>
    <w:multiLevelType w:val="hybridMultilevel"/>
    <w:tmpl w:val="189A1D24"/>
    <w:lvl w:ilvl="0" w:tplc="D3948D82">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F41321"/>
    <w:multiLevelType w:val="hybridMultilevel"/>
    <w:tmpl w:val="2452BC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F302A5"/>
    <w:multiLevelType w:val="hybridMultilevel"/>
    <w:tmpl w:val="E6D06A92"/>
    <w:lvl w:ilvl="0" w:tplc="A60EE7C6">
      <w:start w:val="1"/>
      <w:numFmt w:val="decimal"/>
      <w:lvlText w:val="%1."/>
      <w:lvlJc w:val="left"/>
      <w:pPr>
        <w:tabs>
          <w:tab w:val="num" w:pos="360"/>
        </w:tabs>
        <w:ind w:left="360" w:hanging="360"/>
      </w:pPr>
      <w:rPr>
        <w:rFonts w:hint="default"/>
        <w:sz w:val="24"/>
        <w:szCs w:val="24"/>
        <w:vertAlign w:val="superscrip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14AE1408"/>
    <w:multiLevelType w:val="hybridMultilevel"/>
    <w:tmpl w:val="B46AC730"/>
    <w:lvl w:ilvl="0" w:tplc="E960A684">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5F30F9"/>
    <w:multiLevelType w:val="hybridMultilevel"/>
    <w:tmpl w:val="AD262C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09587E"/>
    <w:multiLevelType w:val="hybridMultilevel"/>
    <w:tmpl w:val="E7009DF4"/>
    <w:lvl w:ilvl="0" w:tplc="584CB980">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3D0442"/>
    <w:multiLevelType w:val="multilevel"/>
    <w:tmpl w:val="05085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C857A0"/>
    <w:multiLevelType w:val="hybridMultilevel"/>
    <w:tmpl w:val="AC84D26A"/>
    <w:lvl w:ilvl="0" w:tplc="2716F2D0">
      <w:start w:val="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81A75C8"/>
    <w:multiLevelType w:val="hybridMultilevel"/>
    <w:tmpl w:val="C896C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8207E3"/>
    <w:multiLevelType w:val="hybridMultilevel"/>
    <w:tmpl w:val="C87481A2"/>
    <w:lvl w:ilvl="0" w:tplc="FF3E9F2C">
      <w:start w:val="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E1913B4"/>
    <w:multiLevelType w:val="hybridMultilevel"/>
    <w:tmpl w:val="C88092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F542826"/>
    <w:multiLevelType w:val="hybridMultilevel"/>
    <w:tmpl w:val="BB5C35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9F0FDC"/>
    <w:multiLevelType w:val="hybridMultilevel"/>
    <w:tmpl w:val="A204F2AE"/>
    <w:lvl w:ilvl="0" w:tplc="88442264">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8E2466A"/>
    <w:multiLevelType w:val="hybridMultilevel"/>
    <w:tmpl w:val="51128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0F3429B"/>
    <w:multiLevelType w:val="hybridMultilevel"/>
    <w:tmpl w:val="DD72FEA0"/>
    <w:lvl w:ilvl="0" w:tplc="6F6045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2276099"/>
    <w:multiLevelType w:val="hybridMultilevel"/>
    <w:tmpl w:val="11CE5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62E6D78"/>
    <w:multiLevelType w:val="hybridMultilevel"/>
    <w:tmpl w:val="F2D8D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1A42153"/>
    <w:multiLevelType w:val="hybridMultilevel"/>
    <w:tmpl w:val="FD32FA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46F3FA7"/>
    <w:multiLevelType w:val="hybridMultilevel"/>
    <w:tmpl w:val="EAFC5D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4AE3B39"/>
    <w:multiLevelType w:val="hybridMultilevel"/>
    <w:tmpl w:val="57584EDE"/>
    <w:lvl w:ilvl="0" w:tplc="294A502E">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C8C1762"/>
    <w:multiLevelType w:val="hybridMultilevel"/>
    <w:tmpl w:val="48E4EA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DBA3BB4"/>
    <w:multiLevelType w:val="hybridMultilevel"/>
    <w:tmpl w:val="F22AEC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DD54C78"/>
    <w:multiLevelType w:val="hybridMultilevel"/>
    <w:tmpl w:val="40C89C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5AD2DEF"/>
    <w:multiLevelType w:val="hybridMultilevel"/>
    <w:tmpl w:val="EE4A0B1C"/>
    <w:lvl w:ilvl="0" w:tplc="B85C38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7A35147B"/>
    <w:multiLevelType w:val="hybridMultilevel"/>
    <w:tmpl w:val="1696DE3E"/>
    <w:lvl w:ilvl="0" w:tplc="ECE21D58">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B397E67"/>
    <w:multiLevelType w:val="hybridMultilevel"/>
    <w:tmpl w:val="33742F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DA0402C"/>
    <w:multiLevelType w:val="hybridMultilevel"/>
    <w:tmpl w:val="31F83E60"/>
    <w:lvl w:ilvl="0" w:tplc="4CF6019C">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2"/>
  </w:num>
  <w:num w:numId="4">
    <w:abstractNumId w:val="1"/>
  </w:num>
  <w:num w:numId="5">
    <w:abstractNumId w:val="24"/>
  </w:num>
  <w:num w:numId="6">
    <w:abstractNumId w:val="27"/>
  </w:num>
  <w:num w:numId="7">
    <w:abstractNumId w:val="14"/>
  </w:num>
  <w:num w:numId="8">
    <w:abstractNumId w:val="17"/>
  </w:num>
  <w:num w:numId="9">
    <w:abstractNumId w:val="26"/>
  </w:num>
  <w:num w:numId="10">
    <w:abstractNumId w:val="28"/>
  </w:num>
  <w:num w:numId="11">
    <w:abstractNumId w:val="5"/>
  </w:num>
  <w:num w:numId="12">
    <w:abstractNumId w:val="20"/>
  </w:num>
  <w:num w:numId="13">
    <w:abstractNumId w:val="8"/>
  </w:num>
  <w:num w:numId="14">
    <w:abstractNumId w:val="15"/>
  </w:num>
  <w:num w:numId="15">
    <w:abstractNumId w:val="6"/>
  </w:num>
  <w:num w:numId="16">
    <w:abstractNumId w:val="29"/>
  </w:num>
  <w:num w:numId="17">
    <w:abstractNumId w:val="3"/>
  </w:num>
  <w:num w:numId="18">
    <w:abstractNumId w:val="0"/>
  </w:num>
  <w:num w:numId="19">
    <w:abstractNumId w:val="22"/>
  </w:num>
  <w:num w:numId="20">
    <w:abstractNumId w:val="16"/>
  </w:num>
  <w:num w:numId="21">
    <w:abstractNumId w:val="23"/>
  </w:num>
  <w:num w:numId="22">
    <w:abstractNumId w:val="13"/>
  </w:num>
  <w:num w:numId="23">
    <w:abstractNumId w:val="2"/>
  </w:num>
  <w:num w:numId="24">
    <w:abstractNumId w:val="19"/>
  </w:num>
  <w:num w:numId="25">
    <w:abstractNumId w:val="11"/>
  </w:num>
  <w:num w:numId="26">
    <w:abstractNumId w:val="21"/>
  </w:num>
  <w:num w:numId="27">
    <w:abstractNumId w:val="4"/>
  </w:num>
  <w:num w:numId="28">
    <w:abstractNumId w:val="7"/>
  </w:num>
  <w:num w:numId="29">
    <w:abstractNumId w:val="25"/>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rthritis Research Th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dettd5dwx9xza6e29atvpzflz90t5pvxdzdd&quot;&gt;ReferencesArticleReviewProgFactHipOA&lt;record-ids&gt;&lt;item&gt;1&lt;/item&gt;&lt;item&gt;2&lt;/item&gt;&lt;item&gt;4&lt;/item&gt;&lt;item&gt;5&lt;/item&gt;&lt;item&gt;7&lt;/item&gt;&lt;item&gt;8&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7&lt;/item&gt;&lt;item&gt;69&lt;/item&gt;&lt;item&gt;70&lt;/item&gt;&lt;item&gt;71&lt;/item&gt;&lt;item&gt;72&lt;/item&gt;&lt;item&gt;73&lt;/item&gt;&lt;item&gt;74&lt;/item&gt;&lt;/record-ids&gt;&lt;/item&gt;&lt;/Libraries&gt;"/>
  </w:docVars>
  <w:rsids>
    <w:rsidRoot w:val="002F4AB9"/>
    <w:rsid w:val="000013EC"/>
    <w:rsid w:val="00003EC1"/>
    <w:rsid w:val="00004233"/>
    <w:rsid w:val="00006018"/>
    <w:rsid w:val="0001737D"/>
    <w:rsid w:val="0002004C"/>
    <w:rsid w:val="00020ACD"/>
    <w:rsid w:val="00022711"/>
    <w:rsid w:val="000234C8"/>
    <w:rsid w:val="00025A0D"/>
    <w:rsid w:val="000270F5"/>
    <w:rsid w:val="00030C20"/>
    <w:rsid w:val="000315EB"/>
    <w:rsid w:val="00031619"/>
    <w:rsid w:val="00032015"/>
    <w:rsid w:val="000333B5"/>
    <w:rsid w:val="000422A6"/>
    <w:rsid w:val="00042477"/>
    <w:rsid w:val="00043581"/>
    <w:rsid w:val="00046257"/>
    <w:rsid w:val="00051F9C"/>
    <w:rsid w:val="000526A3"/>
    <w:rsid w:val="00053DDF"/>
    <w:rsid w:val="00054ABA"/>
    <w:rsid w:val="00056607"/>
    <w:rsid w:val="000576EB"/>
    <w:rsid w:val="0005775D"/>
    <w:rsid w:val="00060940"/>
    <w:rsid w:val="00067BF8"/>
    <w:rsid w:val="00071612"/>
    <w:rsid w:val="000716E1"/>
    <w:rsid w:val="0007688D"/>
    <w:rsid w:val="00076EEA"/>
    <w:rsid w:val="00077806"/>
    <w:rsid w:val="00077826"/>
    <w:rsid w:val="0008322D"/>
    <w:rsid w:val="00083631"/>
    <w:rsid w:val="00083AEA"/>
    <w:rsid w:val="00087663"/>
    <w:rsid w:val="0009048B"/>
    <w:rsid w:val="00090CDD"/>
    <w:rsid w:val="00090FB2"/>
    <w:rsid w:val="0009116D"/>
    <w:rsid w:val="0009500F"/>
    <w:rsid w:val="00095C90"/>
    <w:rsid w:val="00096247"/>
    <w:rsid w:val="000962FC"/>
    <w:rsid w:val="00096407"/>
    <w:rsid w:val="00096BB5"/>
    <w:rsid w:val="000972B0"/>
    <w:rsid w:val="000A4035"/>
    <w:rsid w:val="000A5240"/>
    <w:rsid w:val="000A54F9"/>
    <w:rsid w:val="000B145A"/>
    <w:rsid w:val="000B3BA3"/>
    <w:rsid w:val="000B4C9C"/>
    <w:rsid w:val="000B55B1"/>
    <w:rsid w:val="000B5617"/>
    <w:rsid w:val="000B64EC"/>
    <w:rsid w:val="000B7002"/>
    <w:rsid w:val="000B735A"/>
    <w:rsid w:val="000C067A"/>
    <w:rsid w:val="000C3C66"/>
    <w:rsid w:val="000C5AAD"/>
    <w:rsid w:val="000C5B5F"/>
    <w:rsid w:val="000C5D6C"/>
    <w:rsid w:val="000C6566"/>
    <w:rsid w:val="000C7F1E"/>
    <w:rsid w:val="000D0911"/>
    <w:rsid w:val="000D0BCA"/>
    <w:rsid w:val="000D1805"/>
    <w:rsid w:val="000D1842"/>
    <w:rsid w:val="000D1D08"/>
    <w:rsid w:val="000D35C4"/>
    <w:rsid w:val="000D36C4"/>
    <w:rsid w:val="000D3C96"/>
    <w:rsid w:val="000D3EDA"/>
    <w:rsid w:val="000E0934"/>
    <w:rsid w:val="000E110C"/>
    <w:rsid w:val="000E28A9"/>
    <w:rsid w:val="000E2C1B"/>
    <w:rsid w:val="000E4D2A"/>
    <w:rsid w:val="000E6AAC"/>
    <w:rsid w:val="000F1049"/>
    <w:rsid w:val="000F1918"/>
    <w:rsid w:val="000F541E"/>
    <w:rsid w:val="000F5CBE"/>
    <w:rsid w:val="000F642A"/>
    <w:rsid w:val="000F7275"/>
    <w:rsid w:val="000F7E1F"/>
    <w:rsid w:val="00100064"/>
    <w:rsid w:val="00100587"/>
    <w:rsid w:val="00100D98"/>
    <w:rsid w:val="00100EEF"/>
    <w:rsid w:val="001016F8"/>
    <w:rsid w:val="00101A20"/>
    <w:rsid w:val="00101FF2"/>
    <w:rsid w:val="00102368"/>
    <w:rsid w:val="00102744"/>
    <w:rsid w:val="00102BCB"/>
    <w:rsid w:val="0010332C"/>
    <w:rsid w:val="00103636"/>
    <w:rsid w:val="001036ED"/>
    <w:rsid w:val="00105455"/>
    <w:rsid w:val="0010749F"/>
    <w:rsid w:val="00107D67"/>
    <w:rsid w:val="00110254"/>
    <w:rsid w:val="00110815"/>
    <w:rsid w:val="00110982"/>
    <w:rsid w:val="00111336"/>
    <w:rsid w:val="001150A2"/>
    <w:rsid w:val="00115155"/>
    <w:rsid w:val="00116BA0"/>
    <w:rsid w:val="00120467"/>
    <w:rsid w:val="00123AC0"/>
    <w:rsid w:val="00123D73"/>
    <w:rsid w:val="001278FD"/>
    <w:rsid w:val="001305B1"/>
    <w:rsid w:val="00130705"/>
    <w:rsid w:val="00130FA7"/>
    <w:rsid w:val="001322DF"/>
    <w:rsid w:val="001345CA"/>
    <w:rsid w:val="00136292"/>
    <w:rsid w:val="0013710B"/>
    <w:rsid w:val="00140BC2"/>
    <w:rsid w:val="00142B8A"/>
    <w:rsid w:val="00143456"/>
    <w:rsid w:val="00145897"/>
    <w:rsid w:val="00146EED"/>
    <w:rsid w:val="001478FA"/>
    <w:rsid w:val="00150BFA"/>
    <w:rsid w:val="00152748"/>
    <w:rsid w:val="00154585"/>
    <w:rsid w:val="00160107"/>
    <w:rsid w:val="0017178F"/>
    <w:rsid w:val="001759C3"/>
    <w:rsid w:val="00175ECA"/>
    <w:rsid w:val="00177044"/>
    <w:rsid w:val="00182201"/>
    <w:rsid w:val="001823EC"/>
    <w:rsid w:val="00182640"/>
    <w:rsid w:val="00183413"/>
    <w:rsid w:val="00183848"/>
    <w:rsid w:val="00183E71"/>
    <w:rsid w:val="00186569"/>
    <w:rsid w:val="001902D0"/>
    <w:rsid w:val="001922AD"/>
    <w:rsid w:val="00192F2D"/>
    <w:rsid w:val="00193099"/>
    <w:rsid w:val="00194717"/>
    <w:rsid w:val="00194BEA"/>
    <w:rsid w:val="00195444"/>
    <w:rsid w:val="0019684A"/>
    <w:rsid w:val="00196AE1"/>
    <w:rsid w:val="001979B4"/>
    <w:rsid w:val="001A2484"/>
    <w:rsid w:val="001A365D"/>
    <w:rsid w:val="001A3F81"/>
    <w:rsid w:val="001A409A"/>
    <w:rsid w:val="001A6580"/>
    <w:rsid w:val="001B1F6E"/>
    <w:rsid w:val="001B645E"/>
    <w:rsid w:val="001B7130"/>
    <w:rsid w:val="001B724B"/>
    <w:rsid w:val="001C08A2"/>
    <w:rsid w:val="001C0C18"/>
    <w:rsid w:val="001C131F"/>
    <w:rsid w:val="001C13FA"/>
    <w:rsid w:val="001C4357"/>
    <w:rsid w:val="001C684D"/>
    <w:rsid w:val="001D2907"/>
    <w:rsid w:val="001D3AA3"/>
    <w:rsid w:val="001D6DBB"/>
    <w:rsid w:val="001E2CDE"/>
    <w:rsid w:val="001E352D"/>
    <w:rsid w:val="001E4D58"/>
    <w:rsid w:val="001E52F3"/>
    <w:rsid w:val="001E7094"/>
    <w:rsid w:val="001F0FBA"/>
    <w:rsid w:val="001F1208"/>
    <w:rsid w:val="001F15A3"/>
    <w:rsid w:val="001F2B3B"/>
    <w:rsid w:val="001F30D2"/>
    <w:rsid w:val="001F6A53"/>
    <w:rsid w:val="001F6F31"/>
    <w:rsid w:val="001F7A73"/>
    <w:rsid w:val="0020066B"/>
    <w:rsid w:val="0020751F"/>
    <w:rsid w:val="00210F7A"/>
    <w:rsid w:val="002112C9"/>
    <w:rsid w:val="00211D23"/>
    <w:rsid w:val="00213DF9"/>
    <w:rsid w:val="00215AC5"/>
    <w:rsid w:val="002160D9"/>
    <w:rsid w:val="00221C31"/>
    <w:rsid w:val="00221D8C"/>
    <w:rsid w:val="0022260F"/>
    <w:rsid w:val="00224265"/>
    <w:rsid w:val="00224740"/>
    <w:rsid w:val="0022717A"/>
    <w:rsid w:val="0022770B"/>
    <w:rsid w:val="0023190E"/>
    <w:rsid w:val="0023611A"/>
    <w:rsid w:val="00237043"/>
    <w:rsid w:val="00241458"/>
    <w:rsid w:val="00241CC3"/>
    <w:rsid w:val="00244024"/>
    <w:rsid w:val="002500A0"/>
    <w:rsid w:val="00250C99"/>
    <w:rsid w:val="0025100E"/>
    <w:rsid w:val="00251373"/>
    <w:rsid w:val="00253A3D"/>
    <w:rsid w:val="0025582E"/>
    <w:rsid w:val="00256D57"/>
    <w:rsid w:val="00257952"/>
    <w:rsid w:val="00260C0E"/>
    <w:rsid w:val="00262F78"/>
    <w:rsid w:val="00265AEE"/>
    <w:rsid w:val="0026676D"/>
    <w:rsid w:val="00266904"/>
    <w:rsid w:val="00267A8C"/>
    <w:rsid w:val="00272AC3"/>
    <w:rsid w:val="00272ACE"/>
    <w:rsid w:val="00273C55"/>
    <w:rsid w:val="0027698C"/>
    <w:rsid w:val="00276D8C"/>
    <w:rsid w:val="00277143"/>
    <w:rsid w:val="00277E3E"/>
    <w:rsid w:val="00280762"/>
    <w:rsid w:val="00282450"/>
    <w:rsid w:val="00282C9B"/>
    <w:rsid w:val="00282F8B"/>
    <w:rsid w:val="00283EFD"/>
    <w:rsid w:val="0028482B"/>
    <w:rsid w:val="00285488"/>
    <w:rsid w:val="002945FB"/>
    <w:rsid w:val="00297A5E"/>
    <w:rsid w:val="00297A67"/>
    <w:rsid w:val="002A3B23"/>
    <w:rsid w:val="002A5DDB"/>
    <w:rsid w:val="002B1996"/>
    <w:rsid w:val="002B1E0B"/>
    <w:rsid w:val="002B2A88"/>
    <w:rsid w:val="002B3C39"/>
    <w:rsid w:val="002B54BB"/>
    <w:rsid w:val="002B652B"/>
    <w:rsid w:val="002B76B2"/>
    <w:rsid w:val="002B7B28"/>
    <w:rsid w:val="002C32B8"/>
    <w:rsid w:val="002C6AD3"/>
    <w:rsid w:val="002D15DD"/>
    <w:rsid w:val="002D5C58"/>
    <w:rsid w:val="002D7A95"/>
    <w:rsid w:val="002E14D0"/>
    <w:rsid w:val="002E30EC"/>
    <w:rsid w:val="002E56D8"/>
    <w:rsid w:val="002E5750"/>
    <w:rsid w:val="002E60C5"/>
    <w:rsid w:val="002F254A"/>
    <w:rsid w:val="002F2940"/>
    <w:rsid w:val="002F33DC"/>
    <w:rsid w:val="002F3989"/>
    <w:rsid w:val="002F4AB9"/>
    <w:rsid w:val="002F585C"/>
    <w:rsid w:val="002F5BA4"/>
    <w:rsid w:val="002F64F8"/>
    <w:rsid w:val="00300491"/>
    <w:rsid w:val="00302FAB"/>
    <w:rsid w:val="00303897"/>
    <w:rsid w:val="00306468"/>
    <w:rsid w:val="003078F0"/>
    <w:rsid w:val="00311177"/>
    <w:rsid w:val="00311AE2"/>
    <w:rsid w:val="00311C36"/>
    <w:rsid w:val="00313EF8"/>
    <w:rsid w:val="00313F00"/>
    <w:rsid w:val="00315B6C"/>
    <w:rsid w:val="00315EFF"/>
    <w:rsid w:val="00316AFA"/>
    <w:rsid w:val="00316CC8"/>
    <w:rsid w:val="003175D6"/>
    <w:rsid w:val="00317A04"/>
    <w:rsid w:val="00320A69"/>
    <w:rsid w:val="00320A7D"/>
    <w:rsid w:val="003212B8"/>
    <w:rsid w:val="00321DAF"/>
    <w:rsid w:val="00323462"/>
    <w:rsid w:val="003235DA"/>
    <w:rsid w:val="00330544"/>
    <w:rsid w:val="003308A1"/>
    <w:rsid w:val="003326C2"/>
    <w:rsid w:val="00332ABB"/>
    <w:rsid w:val="00334047"/>
    <w:rsid w:val="003358EF"/>
    <w:rsid w:val="00340A34"/>
    <w:rsid w:val="00340DBD"/>
    <w:rsid w:val="003438FD"/>
    <w:rsid w:val="003443AE"/>
    <w:rsid w:val="00344D4B"/>
    <w:rsid w:val="003523BD"/>
    <w:rsid w:val="00352509"/>
    <w:rsid w:val="00356862"/>
    <w:rsid w:val="0036015B"/>
    <w:rsid w:val="00361549"/>
    <w:rsid w:val="00362249"/>
    <w:rsid w:val="00363858"/>
    <w:rsid w:val="00364E3B"/>
    <w:rsid w:val="00365F19"/>
    <w:rsid w:val="003671DA"/>
    <w:rsid w:val="003675CC"/>
    <w:rsid w:val="003716B1"/>
    <w:rsid w:val="00371C32"/>
    <w:rsid w:val="00372910"/>
    <w:rsid w:val="003732A0"/>
    <w:rsid w:val="0037404D"/>
    <w:rsid w:val="00377724"/>
    <w:rsid w:val="00380554"/>
    <w:rsid w:val="003806E8"/>
    <w:rsid w:val="00380A26"/>
    <w:rsid w:val="00381505"/>
    <w:rsid w:val="00382883"/>
    <w:rsid w:val="00383929"/>
    <w:rsid w:val="00385A8B"/>
    <w:rsid w:val="00386C96"/>
    <w:rsid w:val="00392273"/>
    <w:rsid w:val="0039372B"/>
    <w:rsid w:val="00395C8E"/>
    <w:rsid w:val="003971FA"/>
    <w:rsid w:val="0039782F"/>
    <w:rsid w:val="00397963"/>
    <w:rsid w:val="003A119B"/>
    <w:rsid w:val="003A125A"/>
    <w:rsid w:val="003A1A9B"/>
    <w:rsid w:val="003A1D9E"/>
    <w:rsid w:val="003A4A23"/>
    <w:rsid w:val="003B1F2E"/>
    <w:rsid w:val="003B4401"/>
    <w:rsid w:val="003B59DC"/>
    <w:rsid w:val="003B6914"/>
    <w:rsid w:val="003B7D70"/>
    <w:rsid w:val="003C1304"/>
    <w:rsid w:val="003C2E0F"/>
    <w:rsid w:val="003C35D0"/>
    <w:rsid w:val="003D00A5"/>
    <w:rsid w:val="003D10F1"/>
    <w:rsid w:val="003D16FA"/>
    <w:rsid w:val="003D18F2"/>
    <w:rsid w:val="003D25E6"/>
    <w:rsid w:val="003D602F"/>
    <w:rsid w:val="003D6D30"/>
    <w:rsid w:val="003D7FD4"/>
    <w:rsid w:val="003E2756"/>
    <w:rsid w:val="003E73CD"/>
    <w:rsid w:val="003F1CCF"/>
    <w:rsid w:val="003F29DD"/>
    <w:rsid w:val="003F4C0C"/>
    <w:rsid w:val="003F4E06"/>
    <w:rsid w:val="003F5498"/>
    <w:rsid w:val="003F7493"/>
    <w:rsid w:val="003F7EE1"/>
    <w:rsid w:val="00401008"/>
    <w:rsid w:val="00401771"/>
    <w:rsid w:val="004020A6"/>
    <w:rsid w:val="00405040"/>
    <w:rsid w:val="004066D7"/>
    <w:rsid w:val="00406EC0"/>
    <w:rsid w:val="00410157"/>
    <w:rsid w:val="004110F6"/>
    <w:rsid w:val="004116C6"/>
    <w:rsid w:val="00412892"/>
    <w:rsid w:val="004134F2"/>
    <w:rsid w:val="00413F31"/>
    <w:rsid w:val="00414D7E"/>
    <w:rsid w:val="00415E06"/>
    <w:rsid w:val="004221F0"/>
    <w:rsid w:val="00424C1F"/>
    <w:rsid w:val="00425790"/>
    <w:rsid w:val="00427268"/>
    <w:rsid w:val="004279E2"/>
    <w:rsid w:val="00430EFB"/>
    <w:rsid w:val="004312CF"/>
    <w:rsid w:val="00431A4B"/>
    <w:rsid w:val="00432109"/>
    <w:rsid w:val="004345A4"/>
    <w:rsid w:val="00436A2F"/>
    <w:rsid w:val="00436D95"/>
    <w:rsid w:val="004377EE"/>
    <w:rsid w:val="00443FDF"/>
    <w:rsid w:val="00446C12"/>
    <w:rsid w:val="00446DFF"/>
    <w:rsid w:val="00447088"/>
    <w:rsid w:val="004549DE"/>
    <w:rsid w:val="00456C9C"/>
    <w:rsid w:val="0046316F"/>
    <w:rsid w:val="00463D2D"/>
    <w:rsid w:val="00464752"/>
    <w:rsid w:val="00470057"/>
    <w:rsid w:val="00471D5E"/>
    <w:rsid w:val="004739A2"/>
    <w:rsid w:val="004742DE"/>
    <w:rsid w:val="00475288"/>
    <w:rsid w:val="0047556F"/>
    <w:rsid w:val="00475CD1"/>
    <w:rsid w:val="004775B5"/>
    <w:rsid w:val="00480D1C"/>
    <w:rsid w:val="00480F8A"/>
    <w:rsid w:val="00481735"/>
    <w:rsid w:val="00484B12"/>
    <w:rsid w:val="00485327"/>
    <w:rsid w:val="004858E7"/>
    <w:rsid w:val="00485D9B"/>
    <w:rsid w:val="00492D94"/>
    <w:rsid w:val="0049446D"/>
    <w:rsid w:val="00494829"/>
    <w:rsid w:val="0049685B"/>
    <w:rsid w:val="004A0541"/>
    <w:rsid w:val="004A0ABE"/>
    <w:rsid w:val="004A141A"/>
    <w:rsid w:val="004A1F63"/>
    <w:rsid w:val="004A6D69"/>
    <w:rsid w:val="004B0EEC"/>
    <w:rsid w:val="004B41AF"/>
    <w:rsid w:val="004B51B7"/>
    <w:rsid w:val="004B5520"/>
    <w:rsid w:val="004B6721"/>
    <w:rsid w:val="004B75A2"/>
    <w:rsid w:val="004C0FCC"/>
    <w:rsid w:val="004C2912"/>
    <w:rsid w:val="004C3800"/>
    <w:rsid w:val="004C476C"/>
    <w:rsid w:val="004D535A"/>
    <w:rsid w:val="004D6861"/>
    <w:rsid w:val="004E075E"/>
    <w:rsid w:val="004E076F"/>
    <w:rsid w:val="004E0AF0"/>
    <w:rsid w:val="004E1B6F"/>
    <w:rsid w:val="004E1DA6"/>
    <w:rsid w:val="004E7D92"/>
    <w:rsid w:val="004F171D"/>
    <w:rsid w:val="004F21DC"/>
    <w:rsid w:val="004F5E22"/>
    <w:rsid w:val="004F6BC9"/>
    <w:rsid w:val="00502130"/>
    <w:rsid w:val="00502389"/>
    <w:rsid w:val="005037CF"/>
    <w:rsid w:val="00504909"/>
    <w:rsid w:val="0051257B"/>
    <w:rsid w:val="005154C4"/>
    <w:rsid w:val="0052161F"/>
    <w:rsid w:val="00521AE4"/>
    <w:rsid w:val="005238E1"/>
    <w:rsid w:val="00525E55"/>
    <w:rsid w:val="00526A9D"/>
    <w:rsid w:val="00527DEE"/>
    <w:rsid w:val="00531BCE"/>
    <w:rsid w:val="00531E78"/>
    <w:rsid w:val="00532106"/>
    <w:rsid w:val="00532851"/>
    <w:rsid w:val="00532963"/>
    <w:rsid w:val="00533680"/>
    <w:rsid w:val="00535B2A"/>
    <w:rsid w:val="00536624"/>
    <w:rsid w:val="00545205"/>
    <w:rsid w:val="005457B7"/>
    <w:rsid w:val="005529F8"/>
    <w:rsid w:val="0055363E"/>
    <w:rsid w:val="00555464"/>
    <w:rsid w:val="0056171A"/>
    <w:rsid w:val="00561AAE"/>
    <w:rsid w:val="005629FE"/>
    <w:rsid w:val="00564016"/>
    <w:rsid w:val="005641AE"/>
    <w:rsid w:val="005643B7"/>
    <w:rsid w:val="00564815"/>
    <w:rsid w:val="00564BBE"/>
    <w:rsid w:val="005658DD"/>
    <w:rsid w:val="00565A61"/>
    <w:rsid w:val="00566D8E"/>
    <w:rsid w:val="00570DD4"/>
    <w:rsid w:val="005725BF"/>
    <w:rsid w:val="0057267E"/>
    <w:rsid w:val="0058296A"/>
    <w:rsid w:val="00584AB9"/>
    <w:rsid w:val="00585458"/>
    <w:rsid w:val="00585A0F"/>
    <w:rsid w:val="00585A9A"/>
    <w:rsid w:val="00585E66"/>
    <w:rsid w:val="00587E39"/>
    <w:rsid w:val="0059006C"/>
    <w:rsid w:val="005916A4"/>
    <w:rsid w:val="005945F2"/>
    <w:rsid w:val="00595DA2"/>
    <w:rsid w:val="00595F56"/>
    <w:rsid w:val="00597AC2"/>
    <w:rsid w:val="005A3432"/>
    <w:rsid w:val="005A386B"/>
    <w:rsid w:val="005A6C25"/>
    <w:rsid w:val="005B2E58"/>
    <w:rsid w:val="005B33CC"/>
    <w:rsid w:val="005B4216"/>
    <w:rsid w:val="005B4CA3"/>
    <w:rsid w:val="005B55E9"/>
    <w:rsid w:val="005C3398"/>
    <w:rsid w:val="005C66C5"/>
    <w:rsid w:val="005C7096"/>
    <w:rsid w:val="005C74CB"/>
    <w:rsid w:val="005D1364"/>
    <w:rsid w:val="005D499E"/>
    <w:rsid w:val="005D5C65"/>
    <w:rsid w:val="005D7BC6"/>
    <w:rsid w:val="005E0C58"/>
    <w:rsid w:val="005E1AD3"/>
    <w:rsid w:val="005E27DF"/>
    <w:rsid w:val="005E3FAE"/>
    <w:rsid w:val="005E4A46"/>
    <w:rsid w:val="005E54BF"/>
    <w:rsid w:val="005E7EB5"/>
    <w:rsid w:val="005F49EB"/>
    <w:rsid w:val="005F5D56"/>
    <w:rsid w:val="005F6228"/>
    <w:rsid w:val="00602136"/>
    <w:rsid w:val="00603E2F"/>
    <w:rsid w:val="006066D3"/>
    <w:rsid w:val="00606986"/>
    <w:rsid w:val="00606FA6"/>
    <w:rsid w:val="00610034"/>
    <w:rsid w:val="00611A68"/>
    <w:rsid w:val="00611DF4"/>
    <w:rsid w:val="006132ED"/>
    <w:rsid w:val="00613FC0"/>
    <w:rsid w:val="00614360"/>
    <w:rsid w:val="00620B12"/>
    <w:rsid w:val="00621865"/>
    <w:rsid w:val="006222D5"/>
    <w:rsid w:val="00622AD1"/>
    <w:rsid w:val="00623FC9"/>
    <w:rsid w:val="006242E5"/>
    <w:rsid w:val="00624A7C"/>
    <w:rsid w:val="00625B38"/>
    <w:rsid w:val="0062688A"/>
    <w:rsid w:val="00627155"/>
    <w:rsid w:val="00631DFE"/>
    <w:rsid w:val="006330B5"/>
    <w:rsid w:val="00636398"/>
    <w:rsid w:val="00637E8B"/>
    <w:rsid w:val="00641A8D"/>
    <w:rsid w:val="006426AF"/>
    <w:rsid w:val="006432C5"/>
    <w:rsid w:val="006460B3"/>
    <w:rsid w:val="00651268"/>
    <w:rsid w:val="0065140D"/>
    <w:rsid w:val="006514A9"/>
    <w:rsid w:val="00653A5E"/>
    <w:rsid w:val="00654465"/>
    <w:rsid w:val="00654639"/>
    <w:rsid w:val="00657E07"/>
    <w:rsid w:val="00664136"/>
    <w:rsid w:val="0067302A"/>
    <w:rsid w:val="0067304F"/>
    <w:rsid w:val="00673ACE"/>
    <w:rsid w:val="00674050"/>
    <w:rsid w:val="0067578D"/>
    <w:rsid w:val="00677418"/>
    <w:rsid w:val="00677572"/>
    <w:rsid w:val="006775B7"/>
    <w:rsid w:val="006777F4"/>
    <w:rsid w:val="00682EC0"/>
    <w:rsid w:val="0068321D"/>
    <w:rsid w:val="00684157"/>
    <w:rsid w:val="0068452C"/>
    <w:rsid w:val="0068625D"/>
    <w:rsid w:val="00686D50"/>
    <w:rsid w:val="00692F40"/>
    <w:rsid w:val="00693769"/>
    <w:rsid w:val="00693E36"/>
    <w:rsid w:val="0069473A"/>
    <w:rsid w:val="00694F54"/>
    <w:rsid w:val="006A11FA"/>
    <w:rsid w:val="006A1B24"/>
    <w:rsid w:val="006A3B14"/>
    <w:rsid w:val="006A548C"/>
    <w:rsid w:val="006B3C1F"/>
    <w:rsid w:val="006C320E"/>
    <w:rsid w:val="006C49F8"/>
    <w:rsid w:val="006C5A26"/>
    <w:rsid w:val="006C5F90"/>
    <w:rsid w:val="006D0373"/>
    <w:rsid w:val="006D076A"/>
    <w:rsid w:val="006D5A1C"/>
    <w:rsid w:val="006D67A6"/>
    <w:rsid w:val="006D7625"/>
    <w:rsid w:val="006D7FD6"/>
    <w:rsid w:val="006E48E6"/>
    <w:rsid w:val="006E5391"/>
    <w:rsid w:val="006F0601"/>
    <w:rsid w:val="006F06B2"/>
    <w:rsid w:val="006F0B26"/>
    <w:rsid w:val="006F1D9B"/>
    <w:rsid w:val="006F32BA"/>
    <w:rsid w:val="006F4B03"/>
    <w:rsid w:val="006F624A"/>
    <w:rsid w:val="006F746C"/>
    <w:rsid w:val="006F7EF6"/>
    <w:rsid w:val="006F7F7C"/>
    <w:rsid w:val="007006FC"/>
    <w:rsid w:val="007033DF"/>
    <w:rsid w:val="00705A4B"/>
    <w:rsid w:val="007100E6"/>
    <w:rsid w:val="0071022C"/>
    <w:rsid w:val="00711542"/>
    <w:rsid w:val="00715A01"/>
    <w:rsid w:val="007174C6"/>
    <w:rsid w:val="0072217B"/>
    <w:rsid w:val="00724416"/>
    <w:rsid w:val="00732422"/>
    <w:rsid w:val="00733A18"/>
    <w:rsid w:val="00734A46"/>
    <w:rsid w:val="00736BD7"/>
    <w:rsid w:val="007373DC"/>
    <w:rsid w:val="00741C6B"/>
    <w:rsid w:val="007430D9"/>
    <w:rsid w:val="00743CD5"/>
    <w:rsid w:val="00744A7E"/>
    <w:rsid w:val="00745283"/>
    <w:rsid w:val="00747959"/>
    <w:rsid w:val="00747FCC"/>
    <w:rsid w:val="0075059C"/>
    <w:rsid w:val="00750603"/>
    <w:rsid w:val="00750960"/>
    <w:rsid w:val="007511F0"/>
    <w:rsid w:val="00752709"/>
    <w:rsid w:val="00755971"/>
    <w:rsid w:val="00756EE2"/>
    <w:rsid w:val="00760DB8"/>
    <w:rsid w:val="00761D60"/>
    <w:rsid w:val="00763767"/>
    <w:rsid w:val="007645A5"/>
    <w:rsid w:val="0076719F"/>
    <w:rsid w:val="00771AF7"/>
    <w:rsid w:val="007727B3"/>
    <w:rsid w:val="007744FF"/>
    <w:rsid w:val="00777C13"/>
    <w:rsid w:val="00783380"/>
    <w:rsid w:val="007851C9"/>
    <w:rsid w:val="007852D2"/>
    <w:rsid w:val="0079503E"/>
    <w:rsid w:val="00796B87"/>
    <w:rsid w:val="007A2BB2"/>
    <w:rsid w:val="007A42B4"/>
    <w:rsid w:val="007A486A"/>
    <w:rsid w:val="007A49E1"/>
    <w:rsid w:val="007A4FE2"/>
    <w:rsid w:val="007A58C0"/>
    <w:rsid w:val="007A65B4"/>
    <w:rsid w:val="007B47F1"/>
    <w:rsid w:val="007B4EAB"/>
    <w:rsid w:val="007C07DB"/>
    <w:rsid w:val="007C0C09"/>
    <w:rsid w:val="007C0CA9"/>
    <w:rsid w:val="007C10C5"/>
    <w:rsid w:val="007C1D8E"/>
    <w:rsid w:val="007C3055"/>
    <w:rsid w:val="007C3C56"/>
    <w:rsid w:val="007C495D"/>
    <w:rsid w:val="007C5D32"/>
    <w:rsid w:val="007C6AEE"/>
    <w:rsid w:val="007C6BD4"/>
    <w:rsid w:val="007D3807"/>
    <w:rsid w:val="007D62D0"/>
    <w:rsid w:val="007D72A5"/>
    <w:rsid w:val="007E008A"/>
    <w:rsid w:val="007E086F"/>
    <w:rsid w:val="007E19D5"/>
    <w:rsid w:val="007E2EB3"/>
    <w:rsid w:val="007E6698"/>
    <w:rsid w:val="007E6A63"/>
    <w:rsid w:val="007E75A6"/>
    <w:rsid w:val="007F060D"/>
    <w:rsid w:val="007F29F2"/>
    <w:rsid w:val="007F2FD4"/>
    <w:rsid w:val="007F4FEB"/>
    <w:rsid w:val="007F566D"/>
    <w:rsid w:val="007F75D8"/>
    <w:rsid w:val="00800DED"/>
    <w:rsid w:val="0080186C"/>
    <w:rsid w:val="00801E0C"/>
    <w:rsid w:val="0080554A"/>
    <w:rsid w:val="00810A64"/>
    <w:rsid w:val="00810CFA"/>
    <w:rsid w:val="00810FC3"/>
    <w:rsid w:val="008115C5"/>
    <w:rsid w:val="00812BC4"/>
    <w:rsid w:val="0081363A"/>
    <w:rsid w:val="00813C99"/>
    <w:rsid w:val="008145C1"/>
    <w:rsid w:val="00815199"/>
    <w:rsid w:val="00820EBD"/>
    <w:rsid w:val="008228F2"/>
    <w:rsid w:val="008232E9"/>
    <w:rsid w:val="00830795"/>
    <w:rsid w:val="00830A8F"/>
    <w:rsid w:val="00830C1D"/>
    <w:rsid w:val="008325E6"/>
    <w:rsid w:val="00834998"/>
    <w:rsid w:val="00840CC4"/>
    <w:rsid w:val="008417DC"/>
    <w:rsid w:val="00852779"/>
    <w:rsid w:val="00852D4E"/>
    <w:rsid w:val="00857006"/>
    <w:rsid w:val="0086039B"/>
    <w:rsid w:val="008609CC"/>
    <w:rsid w:val="008621ED"/>
    <w:rsid w:val="00862995"/>
    <w:rsid w:val="00862F86"/>
    <w:rsid w:val="0087137C"/>
    <w:rsid w:val="0087469B"/>
    <w:rsid w:val="0087497B"/>
    <w:rsid w:val="00874CB7"/>
    <w:rsid w:val="0087578C"/>
    <w:rsid w:val="008761A0"/>
    <w:rsid w:val="00876D2F"/>
    <w:rsid w:val="00880A0C"/>
    <w:rsid w:val="00881B7A"/>
    <w:rsid w:val="00890271"/>
    <w:rsid w:val="00891ABE"/>
    <w:rsid w:val="00895612"/>
    <w:rsid w:val="008960B1"/>
    <w:rsid w:val="0089705F"/>
    <w:rsid w:val="008A2240"/>
    <w:rsid w:val="008A5628"/>
    <w:rsid w:val="008A6823"/>
    <w:rsid w:val="008B2379"/>
    <w:rsid w:val="008B4143"/>
    <w:rsid w:val="008B45CF"/>
    <w:rsid w:val="008B4641"/>
    <w:rsid w:val="008B4EE3"/>
    <w:rsid w:val="008B5D56"/>
    <w:rsid w:val="008B7AE8"/>
    <w:rsid w:val="008C02CE"/>
    <w:rsid w:val="008C11D3"/>
    <w:rsid w:val="008C1345"/>
    <w:rsid w:val="008C1DB6"/>
    <w:rsid w:val="008C2B7F"/>
    <w:rsid w:val="008C3579"/>
    <w:rsid w:val="008C4357"/>
    <w:rsid w:val="008C69E7"/>
    <w:rsid w:val="008C69F4"/>
    <w:rsid w:val="008D0E8E"/>
    <w:rsid w:val="008D0FAE"/>
    <w:rsid w:val="008D1432"/>
    <w:rsid w:val="008D20BD"/>
    <w:rsid w:val="008D2AEB"/>
    <w:rsid w:val="008D3F22"/>
    <w:rsid w:val="008D5500"/>
    <w:rsid w:val="008D621A"/>
    <w:rsid w:val="008D70F9"/>
    <w:rsid w:val="008D7C20"/>
    <w:rsid w:val="008E1481"/>
    <w:rsid w:val="008E722B"/>
    <w:rsid w:val="008F2DCD"/>
    <w:rsid w:val="008F5025"/>
    <w:rsid w:val="008F52EF"/>
    <w:rsid w:val="008F7803"/>
    <w:rsid w:val="0090041A"/>
    <w:rsid w:val="009004E8"/>
    <w:rsid w:val="009006AE"/>
    <w:rsid w:val="00902E51"/>
    <w:rsid w:val="0090442F"/>
    <w:rsid w:val="009074D1"/>
    <w:rsid w:val="009138F6"/>
    <w:rsid w:val="0091677E"/>
    <w:rsid w:val="00917FDE"/>
    <w:rsid w:val="00920419"/>
    <w:rsid w:val="00920CE5"/>
    <w:rsid w:val="00920F93"/>
    <w:rsid w:val="00921360"/>
    <w:rsid w:val="00923443"/>
    <w:rsid w:val="00923DEF"/>
    <w:rsid w:val="0092475B"/>
    <w:rsid w:val="009253AE"/>
    <w:rsid w:val="00930315"/>
    <w:rsid w:val="0093121A"/>
    <w:rsid w:val="009327D0"/>
    <w:rsid w:val="00933EFD"/>
    <w:rsid w:val="0093580F"/>
    <w:rsid w:val="009412E5"/>
    <w:rsid w:val="00942CFE"/>
    <w:rsid w:val="009431E3"/>
    <w:rsid w:val="00945615"/>
    <w:rsid w:val="009467D4"/>
    <w:rsid w:val="009473E2"/>
    <w:rsid w:val="0095060D"/>
    <w:rsid w:val="009513D2"/>
    <w:rsid w:val="00955F8C"/>
    <w:rsid w:val="009624E9"/>
    <w:rsid w:val="00963AFE"/>
    <w:rsid w:val="00967AC0"/>
    <w:rsid w:val="009706B6"/>
    <w:rsid w:val="0097163F"/>
    <w:rsid w:val="009725FF"/>
    <w:rsid w:val="00974FE8"/>
    <w:rsid w:val="00977D1F"/>
    <w:rsid w:val="00981F58"/>
    <w:rsid w:val="00982D18"/>
    <w:rsid w:val="009869FF"/>
    <w:rsid w:val="00986BBC"/>
    <w:rsid w:val="00990B34"/>
    <w:rsid w:val="0099387B"/>
    <w:rsid w:val="009961B4"/>
    <w:rsid w:val="009974D7"/>
    <w:rsid w:val="009A04F5"/>
    <w:rsid w:val="009A0C39"/>
    <w:rsid w:val="009A13C4"/>
    <w:rsid w:val="009A3147"/>
    <w:rsid w:val="009A3A47"/>
    <w:rsid w:val="009A3E9B"/>
    <w:rsid w:val="009B3DEF"/>
    <w:rsid w:val="009B50E1"/>
    <w:rsid w:val="009B6622"/>
    <w:rsid w:val="009C03E0"/>
    <w:rsid w:val="009C3138"/>
    <w:rsid w:val="009C577A"/>
    <w:rsid w:val="009C6DAC"/>
    <w:rsid w:val="009C7948"/>
    <w:rsid w:val="009D08A9"/>
    <w:rsid w:val="009D0A2E"/>
    <w:rsid w:val="009D4189"/>
    <w:rsid w:val="009D453E"/>
    <w:rsid w:val="009D4597"/>
    <w:rsid w:val="009D52FB"/>
    <w:rsid w:val="009D5669"/>
    <w:rsid w:val="009D66DA"/>
    <w:rsid w:val="009D70F6"/>
    <w:rsid w:val="009E2539"/>
    <w:rsid w:val="009E4253"/>
    <w:rsid w:val="009E574B"/>
    <w:rsid w:val="009F2354"/>
    <w:rsid w:val="009F367F"/>
    <w:rsid w:val="009F3AE6"/>
    <w:rsid w:val="009F4200"/>
    <w:rsid w:val="009F5AAF"/>
    <w:rsid w:val="009F74A9"/>
    <w:rsid w:val="00A01BEA"/>
    <w:rsid w:val="00A03F0F"/>
    <w:rsid w:val="00A04688"/>
    <w:rsid w:val="00A117BF"/>
    <w:rsid w:val="00A13B9E"/>
    <w:rsid w:val="00A1508C"/>
    <w:rsid w:val="00A16419"/>
    <w:rsid w:val="00A20AAA"/>
    <w:rsid w:val="00A20E52"/>
    <w:rsid w:val="00A21676"/>
    <w:rsid w:val="00A21F73"/>
    <w:rsid w:val="00A2311B"/>
    <w:rsid w:val="00A23764"/>
    <w:rsid w:val="00A23B5E"/>
    <w:rsid w:val="00A242DE"/>
    <w:rsid w:val="00A24D49"/>
    <w:rsid w:val="00A2581A"/>
    <w:rsid w:val="00A269B5"/>
    <w:rsid w:val="00A27282"/>
    <w:rsid w:val="00A277F3"/>
    <w:rsid w:val="00A27EF9"/>
    <w:rsid w:val="00A303D2"/>
    <w:rsid w:val="00A3092F"/>
    <w:rsid w:val="00A332EB"/>
    <w:rsid w:val="00A337EB"/>
    <w:rsid w:val="00A349EE"/>
    <w:rsid w:val="00A34D47"/>
    <w:rsid w:val="00A36FEF"/>
    <w:rsid w:val="00A44248"/>
    <w:rsid w:val="00A4533E"/>
    <w:rsid w:val="00A52D94"/>
    <w:rsid w:val="00A53461"/>
    <w:rsid w:val="00A664C0"/>
    <w:rsid w:val="00A673F9"/>
    <w:rsid w:val="00A739CC"/>
    <w:rsid w:val="00A74BB5"/>
    <w:rsid w:val="00A80CA7"/>
    <w:rsid w:val="00A82017"/>
    <w:rsid w:val="00A82D80"/>
    <w:rsid w:val="00A83928"/>
    <w:rsid w:val="00A87545"/>
    <w:rsid w:val="00A907FA"/>
    <w:rsid w:val="00A9465E"/>
    <w:rsid w:val="00A96F4E"/>
    <w:rsid w:val="00A97B4D"/>
    <w:rsid w:val="00A97C96"/>
    <w:rsid w:val="00A97DBD"/>
    <w:rsid w:val="00AA0AD3"/>
    <w:rsid w:val="00AA18B5"/>
    <w:rsid w:val="00AA37D9"/>
    <w:rsid w:val="00AA447C"/>
    <w:rsid w:val="00AA4B2B"/>
    <w:rsid w:val="00AA5B9D"/>
    <w:rsid w:val="00AA6432"/>
    <w:rsid w:val="00AA7CB7"/>
    <w:rsid w:val="00AB05DA"/>
    <w:rsid w:val="00AB0667"/>
    <w:rsid w:val="00AB3119"/>
    <w:rsid w:val="00AB43D0"/>
    <w:rsid w:val="00AB5E7E"/>
    <w:rsid w:val="00AB7494"/>
    <w:rsid w:val="00AC1D96"/>
    <w:rsid w:val="00AC33AD"/>
    <w:rsid w:val="00AC7F0A"/>
    <w:rsid w:val="00AC7FC2"/>
    <w:rsid w:val="00AD01E2"/>
    <w:rsid w:val="00AD3094"/>
    <w:rsid w:val="00AD42E0"/>
    <w:rsid w:val="00AD5236"/>
    <w:rsid w:val="00AD5A5B"/>
    <w:rsid w:val="00AD6B60"/>
    <w:rsid w:val="00AE28AD"/>
    <w:rsid w:val="00AE2EEF"/>
    <w:rsid w:val="00AE5EF4"/>
    <w:rsid w:val="00AE7CBA"/>
    <w:rsid w:val="00AF0D65"/>
    <w:rsid w:val="00AF3B8A"/>
    <w:rsid w:val="00AF3F77"/>
    <w:rsid w:val="00AF5F85"/>
    <w:rsid w:val="00B00B6A"/>
    <w:rsid w:val="00B00BD3"/>
    <w:rsid w:val="00B01AA2"/>
    <w:rsid w:val="00B022B9"/>
    <w:rsid w:val="00B072E5"/>
    <w:rsid w:val="00B1404C"/>
    <w:rsid w:val="00B20FB3"/>
    <w:rsid w:val="00B217B1"/>
    <w:rsid w:val="00B22FA8"/>
    <w:rsid w:val="00B231CC"/>
    <w:rsid w:val="00B2388A"/>
    <w:rsid w:val="00B24135"/>
    <w:rsid w:val="00B260C5"/>
    <w:rsid w:val="00B271CB"/>
    <w:rsid w:val="00B275CC"/>
    <w:rsid w:val="00B30111"/>
    <w:rsid w:val="00B31611"/>
    <w:rsid w:val="00B31BA4"/>
    <w:rsid w:val="00B32BF4"/>
    <w:rsid w:val="00B347A1"/>
    <w:rsid w:val="00B34904"/>
    <w:rsid w:val="00B40D9B"/>
    <w:rsid w:val="00B41047"/>
    <w:rsid w:val="00B429BC"/>
    <w:rsid w:val="00B4311C"/>
    <w:rsid w:val="00B434FE"/>
    <w:rsid w:val="00B45726"/>
    <w:rsid w:val="00B45EE5"/>
    <w:rsid w:val="00B460D8"/>
    <w:rsid w:val="00B5135A"/>
    <w:rsid w:val="00B51E3A"/>
    <w:rsid w:val="00B53FE5"/>
    <w:rsid w:val="00B56038"/>
    <w:rsid w:val="00B562D7"/>
    <w:rsid w:val="00B57068"/>
    <w:rsid w:val="00B60EE8"/>
    <w:rsid w:val="00B61248"/>
    <w:rsid w:val="00B61697"/>
    <w:rsid w:val="00B65BE6"/>
    <w:rsid w:val="00B66DBD"/>
    <w:rsid w:val="00B738DF"/>
    <w:rsid w:val="00B73CCA"/>
    <w:rsid w:val="00B81468"/>
    <w:rsid w:val="00B87268"/>
    <w:rsid w:val="00B90BA0"/>
    <w:rsid w:val="00B90EB6"/>
    <w:rsid w:val="00B92404"/>
    <w:rsid w:val="00B93795"/>
    <w:rsid w:val="00B938F9"/>
    <w:rsid w:val="00B9486C"/>
    <w:rsid w:val="00B95972"/>
    <w:rsid w:val="00B97D81"/>
    <w:rsid w:val="00BA2F49"/>
    <w:rsid w:val="00BA5589"/>
    <w:rsid w:val="00BA6234"/>
    <w:rsid w:val="00BB1583"/>
    <w:rsid w:val="00BB3AED"/>
    <w:rsid w:val="00BB3C46"/>
    <w:rsid w:val="00BB4789"/>
    <w:rsid w:val="00BB4BFD"/>
    <w:rsid w:val="00BB4D57"/>
    <w:rsid w:val="00BB7241"/>
    <w:rsid w:val="00BC08F8"/>
    <w:rsid w:val="00BC4358"/>
    <w:rsid w:val="00BC45AD"/>
    <w:rsid w:val="00BC4929"/>
    <w:rsid w:val="00BC4954"/>
    <w:rsid w:val="00BC5420"/>
    <w:rsid w:val="00BD3E13"/>
    <w:rsid w:val="00BD401B"/>
    <w:rsid w:val="00BD4B3D"/>
    <w:rsid w:val="00BD70CF"/>
    <w:rsid w:val="00BE0293"/>
    <w:rsid w:val="00BE072F"/>
    <w:rsid w:val="00BE14C9"/>
    <w:rsid w:val="00BE2C91"/>
    <w:rsid w:val="00BE3562"/>
    <w:rsid w:val="00BE4BBF"/>
    <w:rsid w:val="00BE5F07"/>
    <w:rsid w:val="00BE6C2A"/>
    <w:rsid w:val="00BF0118"/>
    <w:rsid w:val="00BF230B"/>
    <w:rsid w:val="00BF2E59"/>
    <w:rsid w:val="00C0098D"/>
    <w:rsid w:val="00C012F9"/>
    <w:rsid w:val="00C01A32"/>
    <w:rsid w:val="00C0237A"/>
    <w:rsid w:val="00C03689"/>
    <w:rsid w:val="00C05821"/>
    <w:rsid w:val="00C06682"/>
    <w:rsid w:val="00C06D5F"/>
    <w:rsid w:val="00C07B42"/>
    <w:rsid w:val="00C1000D"/>
    <w:rsid w:val="00C10829"/>
    <w:rsid w:val="00C10CCE"/>
    <w:rsid w:val="00C15486"/>
    <w:rsid w:val="00C15F83"/>
    <w:rsid w:val="00C174D4"/>
    <w:rsid w:val="00C20BE3"/>
    <w:rsid w:val="00C20F45"/>
    <w:rsid w:val="00C21088"/>
    <w:rsid w:val="00C2333D"/>
    <w:rsid w:val="00C27199"/>
    <w:rsid w:val="00C272B6"/>
    <w:rsid w:val="00C30D6A"/>
    <w:rsid w:val="00C31AEF"/>
    <w:rsid w:val="00C35FF3"/>
    <w:rsid w:val="00C40FD7"/>
    <w:rsid w:val="00C41AAA"/>
    <w:rsid w:val="00C44123"/>
    <w:rsid w:val="00C45816"/>
    <w:rsid w:val="00C50F40"/>
    <w:rsid w:val="00C564D5"/>
    <w:rsid w:val="00C5681E"/>
    <w:rsid w:val="00C57418"/>
    <w:rsid w:val="00C57F8F"/>
    <w:rsid w:val="00C57FC3"/>
    <w:rsid w:val="00C62C25"/>
    <w:rsid w:val="00C659CB"/>
    <w:rsid w:val="00C65A13"/>
    <w:rsid w:val="00C666AC"/>
    <w:rsid w:val="00C745A9"/>
    <w:rsid w:val="00C750FD"/>
    <w:rsid w:val="00C764D2"/>
    <w:rsid w:val="00C76A6C"/>
    <w:rsid w:val="00C778BC"/>
    <w:rsid w:val="00C81821"/>
    <w:rsid w:val="00C818F7"/>
    <w:rsid w:val="00C81E26"/>
    <w:rsid w:val="00C82E86"/>
    <w:rsid w:val="00C837BF"/>
    <w:rsid w:val="00C90B32"/>
    <w:rsid w:val="00C9198F"/>
    <w:rsid w:val="00C91B44"/>
    <w:rsid w:val="00C91CBD"/>
    <w:rsid w:val="00C945F0"/>
    <w:rsid w:val="00C968FB"/>
    <w:rsid w:val="00C96D26"/>
    <w:rsid w:val="00C96E07"/>
    <w:rsid w:val="00C97221"/>
    <w:rsid w:val="00C97A7F"/>
    <w:rsid w:val="00CA0D25"/>
    <w:rsid w:val="00CA0D44"/>
    <w:rsid w:val="00CA168E"/>
    <w:rsid w:val="00CA307D"/>
    <w:rsid w:val="00CA68B2"/>
    <w:rsid w:val="00CB1361"/>
    <w:rsid w:val="00CB1C0E"/>
    <w:rsid w:val="00CB25F8"/>
    <w:rsid w:val="00CB3AF2"/>
    <w:rsid w:val="00CB3C0A"/>
    <w:rsid w:val="00CB40C9"/>
    <w:rsid w:val="00CB5E1E"/>
    <w:rsid w:val="00CD10D5"/>
    <w:rsid w:val="00CD24AF"/>
    <w:rsid w:val="00CD40E5"/>
    <w:rsid w:val="00CD7160"/>
    <w:rsid w:val="00CE14B0"/>
    <w:rsid w:val="00CE1C87"/>
    <w:rsid w:val="00CE3EE1"/>
    <w:rsid w:val="00CE4B91"/>
    <w:rsid w:val="00CE4D7D"/>
    <w:rsid w:val="00CE5436"/>
    <w:rsid w:val="00CE691B"/>
    <w:rsid w:val="00CF0F00"/>
    <w:rsid w:val="00CF1ADD"/>
    <w:rsid w:val="00CF501E"/>
    <w:rsid w:val="00CF7197"/>
    <w:rsid w:val="00CF7B2F"/>
    <w:rsid w:val="00D16825"/>
    <w:rsid w:val="00D16C03"/>
    <w:rsid w:val="00D1708B"/>
    <w:rsid w:val="00D17B81"/>
    <w:rsid w:val="00D20238"/>
    <w:rsid w:val="00D202DE"/>
    <w:rsid w:val="00D211B4"/>
    <w:rsid w:val="00D212A3"/>
    <w:rsid w:val="00D2159E"/>
    <w:rsid w:val="00D220CD"/>
    <w:rsid w:val="00D24451"/>
    <w:rsid w:val="00D26D80"/>
    <w:rsid w:val="00D27540"/>
    <w:rsid w:val="00D335E4"/>
    <w:rsid w:val="00D34B1F"/>
    <w:rsid w:val="00D36C95"/>
    <w:rsid w:val="00D371A5"/>
    <w:rsid w:val="00D415E3"/>
    <w:rsid w:val="00D42A81"/>
    <w:rsid w:val="00D42F93"/>
    <w:rsid w:val="00D434A0"/>
    <w:rsid w:val="00D44F09"/>
    <w:rsid w:val="00D45E13"/>
    <w:rsid w:val="00D462F7"/>
    <w:rsid w:val="00D46CB1"/>
    <w:rsid w:val="00D46D93"/>
    <w:rsid w:val="00D50A6C"/>
    <w:rsid w:val="00D51C47"/>
    <w:rsid w:val="00D52688"/>
    <w:rsid w:val="00D52B59"/>
    <w:rsid w:val="00D60E7B"/>
    <w:rsid w:val="00D63251"/>
    <w:rsid w:val="00D6398B"/>
    <w:rsid w:val="00D63DB4"/>
    <w:rsid w:val="00D67F1F"/>
    <w:rsid w:val="00D7023E"/>
    <w:rsid w:val="00D7027A"/>
    <w:rsid w:val="00D705DF"/>
    <w:rsid w:val="00D727C3"/>
    <w:rsid w:val="00D727D3"/>
    <w:rsid w:val="00D74212"/>
    <w:rsid w:val="00D7461C"/>
    <w:rsid w:val="00D7681A"/>
    <w:rsid w:val="00D76CA8"/>
    <w:rsid w:val="00D77010"/>
    <w:rsid w:val="00D816BF"/>
    <w:rsid w:val="00D83152"/>
    <w:rsid w:val="00D85569"/>
    <w:rsid w:val="00D86632"/>
    <w:rsid w:val="00D86A05"/>
    <w:rsid w:val="00D87F2D"/>
    <w:rsid w:val="00D921A5"/>
    <w:rsid w:val="00D92F52"/>
    <w:rsid w:val="00D9385A"/>
    <w:rsid w:val="00D9426C"/>
    <w:rsid w:val="00D955A5"/>
    <w:rsid w:val="00DA14A7"/>
    <w:rsid w:val="00DA16C0"/>
    <w:rsid w:val="00DA2725"/>
    <w:rsid w:val="00DA3E9B"/>
    <w:rsid w:val="00DA409C"/>
    <w:rsid w:val="00DA46D9"/>
    <w:rsid w:val="00DA56FE"/>
    <w:rsid w:val="00DA5B74"/>
    <w:rsid w:val="00DA5BAD"/>
    <w:rsid w:val="00DA6455"/>
    <w:rsid w:val="00DA70EC"/>
    <w:rsid w:val="00DA7A30"/>
    <w:rsid w:val="00DB1515"/>
    <w:rsid w:val="00DB236B"/>
    <w:rsid w:val="00DB3240"/>
    <w:rsid w:val="00DB6133"/>
    <w:rsid w:val="00DB6E3B"/>
    <w:rsid w:val="00DB7FF9"/>
    <w:rsid w:val="00DC008D"/>
    <w:rsid w:val="00DC00A2"/>
    <w:rsid w:val="00DC1356"/>
    <w:rsid w:val="00DC18E3"/>
    <w:rsid w:val="00DC3087"/>
    <w:rsid w:val="00DC3C91"/>
    <w:rsid w:val="00DC5DB0"/>
    <w:rsid w:val="00DC65BB"/>
    <w:rsid w:val="00DC6E79"/>
    <w:rsid w:val="00DC6F38"/>
    <w:rsid w:val="00DD2AD3"/>
    <w:rsid w:val="00DD317A"/>
    <w:rsid w:val="00DD31AE"/>
    <w:rsid w:val="00DD37AB"/>
    <w:rsid w:val="00DD391F"/>
    <w:rsid w:val="00DD3E79"/>
    <w:rsid w:val="00DD4BD9"/>
    <w:rsid w:val="00DE08A2"/>
    <w:rsid w:val="00DE0A03"/>
    <w:rsid w:val="00DE1724"/>
    <w:rsid w:val="00DE2851"/>
    <w:rsid w:val="00DE2AE5"/>
    <w:rsid w:val="00DE54AD"/>
    <w:rsid w:val="00DE7DF2"/>
    <w:rsid w:val="00DF12AB"/>
    <w:rsid w:val="00DF140B"/>
    <w:rsid w:val="00DF6628"/>
    <w:rsid w:val="00DF7484"/>
    <w:rsid w:val="00E02187"/>
    <w:rsid w:val="00E021EF"/>
    <w:rsid w:val="00E036F9"/>
    <w:rsid w:val="00E075D5"/>
    <w:rsid w:val="00E10882"/>
    <w:rsid w:val="00E13977"/>
    <w:rsid w:val="00E15048"/>
    <w:rsid w:val="00E16DCD"/>
    <w:rsid w:val="00E21788"/>
    <w:rsid w:val="00E238AA"/>
    <w:rsid w:val="00E24488"/>
    <w:rsid w:val="00E25CB7"/>
    <w:rsid w:val="00E3057A"/>
    <w:rsid w:val="00E31244"/>
    <w:rsid w:val="00E32F58"/>
    <w:rsid w:val="00E34505"/>
    <w:rsid w:val="00E368F5"/>
    <w:rsid w:val="00E4274C"/>
    <w:rsid w:val="00E42D90"/>
    <w:rsid w:val="00E448D7"/>
    <w:rsid w:val="00E54AAB"/>
    <w:rsid w:val="00E56DB9"/>
    <w:rsid w:val="00E57674"/>
    <w:rsid w:val="00E60B00"/>
    <w:rsid w:val="00E60D43"/>
    <w:rsid w:val="00E6142A"/>
    <w:rsid w:val="00E616F1"/>
    <w:rsid w:val="00E61F37"/>
    <w:rsid w:val="00E620A2"/>
    <w:rsid w:val="00E64407"/>
    <w:rsid w:val="00E644C0"/>
    <w:rsid w:val="00E65BC1"/>
    <w:rsid w:val="00E66B2C"/>
    <w:rsid w:val="00E67015"/>
    <w:rsid w:val="00E6769B"/>
    <w:rsid w:val="00E71077"/>
    <w:rsid w:val="00E710B1"/>
    <w:rsid w:val="00E73511"/>
    <w:rsid w:val="00E7392E"/>
    <w:rsid w:val="00E75007"/>
    <w:rsid w:val="00E7569E"/>
    <w:rsid w:val="00E75C20"/>
    <w:rsid w:val="00E76BFD"/>
    <w:rsid w:val="00E77429"/>
    <w:rsid w:val="00E81E4A"/>
    <w:rsid w:val="00E82208"/>
    <w:rsid w:val="00E823F0"/>
    <w:rsid w:val="00E826E1"/>
    <w:rsid w:val="00E82EBB"/>
    <w:rsid w:val="00E843A6"/>
    <w:rsid w:val="00E8608E"/>
    <w:rsid w:val="00E862C2"/>
    <w:rsid w:val="00EA0288"/>
    <w:rsid w:val="00EA0679"/>
    <w:rsid w:val="00EA0D65"/>
    <w:rsid w:val="00EA1595"/>
    <w:rsid w:val="00EA251D"/>
    <w:rsid w:val="00EA2B2E"/>
    <w:rsid w:val="00EA491E"/>
    <w:rsid w:val="00EB1C41"/>
    <w:rsid w:val="00EB2847"/>
    <w:rsid w:val="00EB3250"/>
    <w:rsid w:val="00EB5151"/>
    <w:rsid w:val="00EB5D91"/>
    <w:rsid w:val="00EB655C"/>
    <w:rsid w:val="00EB6E60"/>
    <w:rsid w:val="00EB75FC"/>
    <w:rsid w:val="00EC27AA"/>
    <w:rsid w:val="00EC5C1C"/>
    <w:rsid w:val="00EC6574"/>
    <w:rsid w:val="00EC7B99"/>
    <w:rsid w:val="00ED03B4"/>
    <w:rsid w:val="00ED1D0A"/>
    <w:rsid w:val="00ED2416"/>
    <w:rsid w:val="00ED69C8"/>
    <w:rsid w:val="00EE001F"/>
    <w:rsid w:val="00EE0061"/>
    <w:rsid w:val="00EE18F1"/>
    <w:rsid w:val="00EE254C"/>
    <w:rsid w:val="00EE443A"/>
    <w:rsid w:val="00EE46E9"/>
    <w:rsid w:val="00EE4F58"/>
    <w:rsid w:val="00EE71A7"/>
    <w:rsid w:val="00EE7305"/>
    <w:rsid w:val="00EF0C29"/>
    <w:rsid w:val="00EF1E40"/>
    <w:rsid w:val="00EF1E92"/>
    <w:rsid w:val="00EF277E"/>
    <w:rsid w:val="00EF3B5B"/>
    <w:rsid w:val="00EF75A9"/>
    <w:rsid w:val="00F00BB7"/>
    <w:rsid w:val="00F00BEC"/>
    <w:rsid w:val="00F015C7"/>
    <w:rsid w:val="00F05F50"/>
    <w:rsid w:val="00F0677F"/>
    <w:rsid w:val="00F06A23"/>
    <w:rsid w:val="00F07E0D"/>
    <w:rsid w:val="00F10E5A"/>
    <w:rsid w:val="00F13C8D"/>
    <w:rsid w:val="00F14F58"/>
    <w:rsid w:val="00F17BA3"/>
    <w:rsid w:val="00F20DA1"/>
    <w:rsid w:val="00F221ED"/>
    <w:rsid w:val="00F25514"/>
    <w:rsid w:val="00F2590F"/>
    <w:rsid w:val="00F26218"/>
    <w:rsid w:val="00F27421"/>
    <w:rsid w:val="00F31AF0"/>
    <w:rsid w:val="00F3472E"/>
    <w:rsid w:val="00F34E0D"/>
    <w:rsid w:val="00F42341"/>
    <w:rsid w:val="00F42C0B"/>
    <w:rsid w:val="00F440C2"/>
    <w:rsid w:val="00F44F28"/>
    <w:rsid w:val="00F454FB"/>
    <w:rsid w:val="00F46A7D"/>
    <w:rsid w:val="00F47F94"/>
    <w:rsid w:val="00F54F03"/>
    <w:rsid w:val="00F55175"/>
    <w:rsid w:val="00F56CA0"/>
    <w:rsid w:val="00F57658"/>
    <w:rsid w:val="00F614BE"/>
    <w:rsid w:val="00F61D44"/>
    <w:rsid w:val="00F676DF"/>
    <w:rsid w:val="00F72672"/>
    <w:rsid w:val="00F73775"/>
    <w:rsid w:val="00F767F1"/>
    <w:rsid w:val="00F77712"/>
    <w:rsid w:val="00F77733"/>
    <w:rsid w:val="00F81B61"/>
    <w:rsid w:val="00F822D0"/>
    <w:rsid w:val="00F8342D"/>
    <w:rsid w:val="00F85635"/>
    <w:rsid w:val="00F86FEF"/>
    <w:rsid w:val="00F87051"/>
    <w:rsid w:val="00F873FD"/>
    <w:rsid w:val="00F90451"/>
    <w:rsid w:val="00F93463"/>
    <w:rsid w:val="00F9491E"/>
    <w:rsid w:val="00F9722F"/>
    <w:rsid w:val="00FA2C77"/>
    <w:rsid w:val="00FA329C"/>
    <w:rsid w:val="00FA6121"/>
    <w:rsid w:val="00FA63B2"/>
    <w:rsid w:val="00FB0013"/>
    <w:rsid w:val="00FB1BE0"/>
    <w:rsid w:val="00FB1CD4"/>
    <w:rsid w:val="00FB200E"/>
    <w:rsid w:val="00FB2698"/>
    <w:rsid w:val="00FB3B02"/>
    <w:rsid w:val="00FB3E06"/>
    <w:rsid w:val="00FB4670"/>
    <w:rsid w:val="00FB5B4B"/>
    <w:rsid w:val="00FB6DB8"/>
    <w:rsid w:val="00FB705E"/>
    <w:rsid w:val="00FB7E53"/>
    <w:rsid w:val="00FC2059"/>
    <w:rsid w:val="00FC55D1"/>
    <w:rsid w:val="00FC571D"/>
    <w:rsid w:val="00FC5CEF"/>
    <w:rsid w:val="00FC6029"/>
    <w:rsid w:val="00FC6BDB"/>
    <w:rsid w:val="00FC6FF8"/>
    <w:rsid w:val="00FD003A"/>
    <w:rsid w:val="00FD0395"/>
    <w:rsid w:val="00FD1526"/>
    <w:rsid w:val="00FD279E"/>
    <w:rsid w:val="00FD6796"/>
    <w:rsid w:val="00FE012E"/>
    <w:rsid w:val="00FE121F"/>
    <w:rsid w:val="00FE2267"/>
    <w:rsid w:val="00FE2C14"/>
    <w:rsid w:val="00FE2D3A"/>
    <w:rsid w:val="00FE3260"/>
    <w:rsid w:val="00FE3A01"/>
    <w:rsid w:val="00FE3D40"/>
    <w:rsid w:val="00FE571C"/>
    <w:rsid w:val="00FE5E6A"/>
    <w:rsid w:val="00FE664D"/>
    <w:rsid w:val="00FE6BD6"/>
    <w:rsid w:val="00FF20F1"/>
    <w:rsid w:val="00FF2C8D"/>
    <w:rsid w:val="00FF6B08"/>
    <w:rsid w:val="00FF6B6B"/>
    <w:rsid w:val="00FF77D1"/>
    <w:rsid w:val="00FF782D"/>
    <w:rsid w:val="00FF7C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F5C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1BA4"/>
  </w:style>
  <w:style w:type="paragraph" w:styleId="Heading2">
    <w:name w:val="heading 2"/>
    <w:basedOn w:val="Normal"/>
    <w:link w:val="Heading2Char"/>
    <w:uiPriority w:val="9"/>
    <w:qFormat/>
    <w:rsid w:val="00C97A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con3">
    <w:name w:val="icon3"/>
    <w:basedOn w:val="DefaultParagraphFont"/>
    <w:rsid w:val="006F1D9B"/>
    <w:rPr>
      <w:vanish w:val="0"/>
      <w:webHidden w:val="0"/>
      <w:shd w:val="clear" w:color="auto" w:fill="FFFFFF"/>
      <w:specVanish w:val="0"/>
    </w:rPr>
  </w:style>
  <w:style w:type="paragraph" w:styleId="BalloonText">
    <w:name w:val="Balloon Text"/>
    <w:basedOn w:val="Normal"/>
    <w:link w:val="BalloonTextChar"/>
    <w:uiPriority w:val="99"/>
    <w:semiHidden/>
    <w:unhideWhenUsed/>
    <w:rsid w:val="000F7E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7E1F"/>
    <w:rPr>
      <w:rFonts w:ascii="Tahoma" w:hAnsi="Tahoma" w:cs="Tahoma"/>
      <w:sz w:val="16"/>
      <w:szCs w:val="16"/>
    </w:rPr>
  </w:style>
  <w:style w:type="paragraph" w:styleId="ListParagraph">
    <w:name w:val="List Paragraph"/>
    <w:basedOn w:val="Normal"/>
    <w:uiPriority w:val="34"/>
    <w:qFormat/>
    <w:rsid w:val="00DE1724"/>
    <w:pPr>
      <w:ind w:left="720"/>
      <w:contextualSpacing/>
    </w:pPr>
  </w:style>
  <w:style w:type="table" w:styleId="TableGrid">
    <w:name w:val="Table Grid"/>
    <w:basedOn w:val="TableNormal"/>
    <w:uiPriority w:val="59"/>
    <w:rsid w:val="003B1F2E"/>
    <w:pPr>
      <w:spacing w:after="0" w:line="240" w:lineRule="auto"/>
    </w:pPr>
    <w:rPr>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3B14"/>
    <w:rPr>
      <w:sz w:val="16"/>
      <w:szCs w:val="16"/>
    </w:rPr>
  </w:style>
  <w:style w:type="paragraph" w:styleId="CommentText">
    <w:name w:val="annotation text"/>
    <w:basedOn w:val="Normal"/>
    <w:link w:val="CommentTextChar"/>
    <w:uiPriority w:val="99"/>
    <w:semiHidden/>
    <w:unhideWhenUsed/>
    <w:rsid w:val="006A3B14"/>
    <w:pPr>
      <w:spacing w:line="240" w:lineRule="auto"/>
    </w:pPr>
    <w:rPr>
      <w:sz w:val="20"/>
      <w:szCs w:val="20"/>
    </w:rPr>
  </w:style>
  <w:style w:type="character" w:customStyle="1" w:styleId="CommentTextChar">
    <w:name w:val="Comment Text Char"/>
    <w:basedOn w:val="DefaultParagraphFont"/>
    <w:link w:val="CommentText"/>
    <w:uiPriority w:val="99"/>
    <w:semiHidden/>
    <w:rsid w:val="006A3B14"/>
    <w:rPr>
      <w:sz w:val="20"/>
      <w:szCs w:val="20"/>
    </w:rPr>
  </w:style>
  <w:style w:type="paragraph" w:styleId="CommentSubject">
    <w:name w:val="annotation subject"/>
    <w:basedOn w:val="CommentText"/>
    <w:next w:val="CommentText"/>
    <w:link w:val="CommentSubjectChar"/>
    <w:uiPriority w:val="99"/>
    <w:semiHidden/>
    <w:unhideWhenUsed/>
    <w:rsid w:val="006A3B14"/>
    <w:rPr>
      <w:b/>
      <w:bCs/>
    </w:rPr>
  </w:style>
  <w:style w:type="character" w:customStyle="1" w:styleId="CommentSubjectChar">
    <w:name w:val="Comment Subject Char"/>
    <w:basedOn w:val="CommentTextChar"/>
    <w:link w:val="CommentSubject"/>
    <w:uiPriority w:val="99"/>
    <w:semiHidden/>
    <w:rsid w:val="006A3B14"/>
    <w:rPr>
      <w:b/>
      <w:bCs/>
      <w:sz w:val="20"/>
      <w:szCs w:val="20"/>
    </w:rPr>
  </w:style>
  <w:style w:type="character" w:customStyle="1" w:styleId="Heading2Char">
    <w:name w:val="Heading 2 Char"/>
    <w:basedOn w:val="DefaultParagraphFont"/>
    <w:link w:val="Heading2"/>
    <w:uiPriority w:val="9"/>
    <w:rsid w:val="00C97A7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C97A7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A2484"/>
    <w:rPr>
      <w:color w:val="0000FF" w:themeColor="hyperlink"/>
      <w:u w:val="single"/>
    </w:rPr>
  </w:style>
  <w:style w:type="paragraph" w:styleId="NoSpacing">
    <w:name w:val="No Spacing"/>
    <w:uiPriority w:val="1"/>
    <w:qFormat/>
    <w:rsid w:val="006F7EF6"/>
    <w:pPr>
      <w:spacing w:after="0" w:line="240" w:lineRule="auto"/>
    </w:pPr>
  </w:style>
  <w:style w:type="paragraph" w:styleId="BodyText2">
    <w:name w:val="Body Text 2"/>
    <w:basedOn w:val="Normal"/>
    <w:link w:val="BodyText2Char"/>
    <w:rsid w:val="006F7EF6"/>
    <w:pPr>
      <w:widowControl w:val="0"/>
      <w:adjustRightInd w:val="0"/>
      <w:spacing w:after="120" w:line="480" w:lineRule="auto"/>
      <w:jc w:val="both"/>
      <w:textAlignment w:val="baseline"/>
    </w:pPr>
    <w:rPr>
      <w:rFonts w:ascii="Times New Roman" w:eastAsia="SimSun" w:hAnsi="Times New Roman" w:cs="Times New Roman"/>
      <w:sz w:val="24"/>
      <w:szCs w:val="24"/>
      <w:lang w:val="nl-NL" w:eastAsia="zh-CN"/>
    </w:rPr>
  </w:style>
  <w:style w:type="character" w:customStyle="1" w:styleId="BodyText2Char">
    <w:name w:val="Body Text 2 Char"/>
    <w:basedOn w:val="DefaultParagraphFont"/>
    <w:link w:val="BodyText2"/>
    <w:rsid w:val="006F7EF6"/>
    <w:rPr>
      <w:rFonts w:ascii="Times New Roman" w:eastAsia="SimSun" w:hAnsi="Times New Roman" w:cs="Times New Roman"/>
      <w:sz w:val="24"/>
      <w:szCs w:val="24"/>
      <w:lang w:val="nl-NL" w:eastAsia="zh-CN"/>
    </w:rPr>
  </w:style>
  <w:style w:type="paragraph" w:customStyle="1" w:styleId="Normal10pt">
    <w:name w:val="Normal + 10 pt"/>
    <w:basedOn w:val="Normal"/>
    <w:rsid w:val="006F7EF6"/>
    <w:pPr>
      <w:widowControl w:val="0"/>
      <w:adjustRightInd w:val="0"/>
      <w:spacing w:after="0" w:line="360" w:lineRule="atLeast"/>
      <w:jc w:val="both"/>
      <w:textAlignment w:val="baseline"/>
    </w:pPr>
    <w:rPr>
      <w:rFonts w:ascii="Arial" w:eastAsia="Times New Roman" w:hAnsi="Arial" w:cs="Arial"/>
      <w:sz w:val="20"/>
      <w:szCs w:val="20"/>
      <w:lang w:val="nl-NL"/>
    </w:rPr>
  </w:style>
  <w:style w:type="paragraph" w:customStyle="1" w:styleId="EndNoteBibliographyTitle">
    <w:name w:val="EndNote Bibliography Title"/>
    <w:basedOn w:val="Normal"/>
    <w:link w:val="EndNoteBibliographyTitleChar"/>
    <w:rsid w:val="00E76BFD"/>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E76BFD"/>
    <w:rPr>
      <w:rFonts w:ascii="Calibri" w:hAnsi="Calibri"/>
      <w:noProof/>
    </w:rPr>
  </w:style>
  <w:style w:type="paragraph" w:customStyle="1" w:styleId="EndNoteBibliography">
    <w:name w:val="EndNote Bibliography"/>
    <w:basedOn w:val="Normal"/>
    <w:link w:val="EndNoteBibliographyChar"/>
    <w:rsid w:val="00E76BFD"/>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E76BFD"/>
    <w:rPr>
      <w:rFonts w:ascii="Calibri" w:hAnsi="Calibri"/>
      <w:noProof/>
    </w:rPr>
  </w:style>
  <w:style w:type="paragraph" w:styleId="Header">
    <w:name w:val="header"/>
    <w:basedOn w:val="Normal"/>
    <w:link w:val="HeaderChar"/>
    <w:uiPriority w:val="99"/>
    <w:unhideWhenUsed/>
    <w:rsid w:val="007D62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62D0"/>
  </w:style>
  <w:style w:type="paragraph" w:styleId="Footer">
    <w:name w:val="footer"/>
    <w:basedOn w:val="Normal"/>
    <w:link w:val="FooterChar"/>
    <w:uiPriority w:val="99"/>
    <w:unhideWhenUsed/>
    <w:rsid w:val="007D62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62D0"/>
  </w:style>
  <w:style w:type="table" w:styleId="LightShading-Accent1">
    <w:name w:val="Light Shading Accent 1"/>
    <w:basedOn w:val="TableNormal"/>
    <w:uiPriority w:val="60"/>
    <w:rsid w:val="00C1000D"/>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B5706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Accent1">
    <w:name w:val="Light List Accent 1"/>
    <w:basedOn w:val="TableNormal"/>
    <w:uiPriority w:val="61"/>
    <w:rsid w:val="005F622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LineNumber">
    <w:name w:val="line number"/>
    <w:basedOn w:val="DefaultParagraphFont"/>
    <w:uiPriority w:val="99"/>
    <w:semiHidden/>
    <w:unhideWhenUsed/>
    <w:rsid w:val="006A1B24"/>
  </w:style>
  <w:style w:type="table" w:styleId="LightList">
    <w:name w:val="Light List"/>
    <w:basedOn w:val="TableNormal"/>
    <w:uiPriority w:val="61"/>
    <w:rsid w:val="00140BC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1BA4"/>
  </w:style>
  <w:style w:type="paragraph" w:styleId="Heading2">
    <w:name w:val="heading 2"/>
    <w:basedOn w:val="Normal"/>
    <w:link w:val="Heading2Char"/>
    <w:uiPriority w:val="9"/>
    <w:qFormat/>
    <w:rsid w:val="00C97A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con3">
    <w:name w:val="icon3"/>
    <w:basedOn w:val="DefaultParagraphFont"/>
    <w:rsid w:val="006F1D9B"/>
    <w:rPr>
      <w:vanish w:val="0"/>
      <w:webHidden w:val="0"/>
      <w:shd w:val="clear" w:color="auto" w:fill="FFFFFF"/>
      <w:specVanish w:val="0"/>
    </w:rPr>
  </w:style>
  <w:style w:type="paragraph" w:styleId="BalloonText">
    <w:name w:val="Balloon Text"/>
    <w:basedOn w:val="Normal"/>
    <w:link w:val="BalloonTextChar"/>
    <w:uiPriority w:val="99"/>
    <w:semiHidden/>
    <w:unhideWhenUsed/>
    <w:rsid w:val="000F7E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7E1F"/>
    <w:rPr>
      <w:rFonts w:ascii="Tahoma" w:hAnsi="Tahoma" w:cs="Tahoma"/>
      <w:sz w:val="16"/>
      <w:szCs w:val="16"/>
    </w:rPr>
  </w:style>
  <w:style w:type="paragraph" w:styleId="ListParagraph">
    <w:name w:val="List Paragraph"/>
    <w:basedOn w:val="Normal"/>
    <w:uiPriority w:val="34"/>
    <w:qFormat/>
    <w:rsid w:val="00DE1724"/>
    <w:pPr>
      <w:ind w:left="720"/>
      <w:contextualSpacing/>
    </w:pPr>
  </w:style>
  <w:style w:type="table" w:styleId="TableGrid">
    <w:name w:val="Table Grid"/>
    <w:basedOn w:val="TableNormal"/>
    <w:uiPriority w:val="59"/>
    <w:rsid w:val="003B1F2E"/>
    <w:pPr>
      <w:spacing w:after="0" w:line="240" w:lineRule="auto"/>
    </w:pPr>
    <w:rPr>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3B14"/>
    <w:rPr>
      <w:sz w:val="16"/>
      <w:szCs w:val="16"/>
    </w:rPr>
  </w:style>
  <w:style w:type="paragraph" w:styleId="CommentText">
    <w:name w:val="annotation text"/>
    <w:basedOn w:val="Normal"/>
    <w:link w:val="CommentTextChar"/>
    <w:uiPriority w:val="99"/>
    <w:semiHidden/>
    <w:unhideWhenUsed/>
    <w:rsid w:val="006A3B14"/>
    <w:pPr>
      <w:spacing w:line="240" w:lineRule="auto"/>
    </w:pPr>
    <w:rPr>
      <w:sz w:val="20"/>
      <w:szCs w:val="20"/>
    </w:rPr>
  </w:style>
  <w:style w:type="character" w:customStyle="1" w:styleId="CommentTextChar">
    <w:name w:val="Comment Text Char"/>
    <w:basedOn w:val="DefaultParagraphFont"/>
    <w:link w:val="CommentText"/>
    <w:uiPriority w:val="99"/>
    <w:semiHidden/>
    <w:rsid w:val="006A3B14"/>
    <w:rPr>
      <w:sz w:val="20"/>
      <w:szCs w:val="20"/>
    </w:rPr>
  </w:style>
  <w:style w:type="paragraph" w:styleId="CommentSubject">
    <w:name w:val="annotation subject"/>
    <w:basedOn w:val="CommentText"/>
    <w:next w:val="CommentText"/>
    <w:link w:val="CommentSubjectChar"/>
    <w:uiPriority w:val="99"/>
    <w:semiHidden/>
    <w:unhideWhenUsed/>
    <w:rsid w:val="006A3B14"/>
    <w:rPr>
      <w:b/>
      <w:bCs/>
    </w:rPr>
  </w:style>
  <w:style w:type="character" w:customStyle="1" w:styleId="CommentSubjectChar">
    <w:name w:val="Comment Subject Char"/>
    <w:basedOn w:val="CommentTextChar"/>
    <w:link w:val="CommentSubject"/>
    <w:uiPriority w:val="99"/>
    <w:semiHidden/>
    <w:rsid w:val="006A3B14"/>
    <w:rPr>
      <w:b/>
      <w:bCs/>
      <w:sz w:val="20"/>
      <w:szCs w:val="20"/>
    </w:rPr>
  </w:style>
  <w:style w:type="character" w:customStyle="1" w:styleId="Heading2Char">
    <w:name w:val="Heading 2 Char"/>
    <w:basedOn w:val="DefaultParagraphFont"/>
    <w:link w:val="Heading2"/>
    <w:uiPriority w:val="9"/>
    <w:rsid w:val="00C97A7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C97A7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A2484"/>
    <w:rPr>
      <w:color w:val="0000FF" w:themeColor="hyperlink"/>
      <w:u w:val="single"/>
    </w:rPr>
  </w:style>
  <w:style w:type="paragraph" w:styleId="NoSpacing">
    <w:name w:val="No Spacing"/>
    <w:uiPriority w:val="1"/>
    <w:qFormat/>
    <w:rsid w:val="006F7EF6"/>
    <w:pPr>
      <w:spacing w:after="0" w:line="240" w:lineRule="auto"/>
    </w:pPr>
  </w:style>
  <w:style w:type="paragraph" w:styleId="BodyText2">
    <w:name w:val="Body Text 2"/>
    <w:basedOn w:val="Normal"/>
    <w:link w:val="BodyText2Char"/>
    <w:rsid w:val="006F7EF6"/>
    <w:pPr>
      <w:widowControl w:val="0"/>
      <w:adjustRightInd w:val="0"/>
      <w:spacing w:after="120" w:line="480" w:lineRule="auto"/>
      <w:jc w:val="both"/>
      <w:textAlignment w:val="baseline"/>
    </w:pPr>
    <w:rPr>
      <w:rFonts w:ascii="Times New Roman" w:eastAsia="SimSun" w:hAnsi="Times New Roman" w:cs="Times New Roman"/>
      <w:sz w:val="24"/>
      <w:szCs w:val="24"/>
      <w:lang w:val="nl-NL" w:eastAsia="zh-CN"/>
    </w:rPr>
  </w:style>
  <w:style w:type="character" w:customStyle="1" w:styleId="BodyText2Char">
    <w:name w:val="Body Text 2 Char"/>
    <w:basedOn w:val="DefaultParagraphFont"/>
    <w:link w:val="BodyText2"/>
    <w:rsid w:val="006F7EF6"/>
    <w:rPr>
      <w:rFonts w:ascii="Times New Roman" w:eastAsia="SimSun" w:hAnsi="Times New Roman" w:cs="Times New Roman"/>
      <w:sz w:val="24"/>
      <w:szCs w:val="24"/>
      <w:lang w:val="nl-NL" w:eastAsia="zh-CN"/>
    </w:rPr>
  </w:style>
  <w:style w:type="paragraph" w:customStyle="1" w:styleId="Normal10pt">
    <w:name w:val="Normal + 10 pt"/>
    <w:basedOn w:val="Normal"/>
    <w:rsid w:val="006F7EF6"/>
    <w:pPr>
      <w:widowControl w:val="0"/>
      <w:adjustRightInd w:val="0"/>
      <w:spacing w:after="0" w:line="360" w:lineRule="atLeast"/>
      <w:jc w:val="both"/>
      <w:textAlignment w:val="baseline"/>
    </w:pPr>
    <w:rPr>
      <w:rFonts w:ascii="Arial" w:eastAsia="Times New Roman" w:hAnsi="Arial" w:cs="Arial"/>
      <w:sz w:val="20"/>
      <w:szCs w:val="20"/>
      <w:lang w:val="nl-NL"/>
    </w:rPr>
  </w:style>
  <w:style w:type="paragraph" w:customStyle="1" w:styleId="EndNoteBibliographyTitle">
    <w:name w:val="EndNote Bibliography Title"/>
    <w:basedOn w:val="Normal"/>
    <w:link w:val="EndNoteBibliographyTitleChar"/>
    <w:rsid w:val="00E76BFD"/>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E76BFD"/>
    <w:rPr>
      <w:rFonts w:ascii="Calibri" w:hAnsi="Calibri"/>
      <w:noProof/>
    </w:rPr>
  </w:style>
  <w:style w:type="paragraph" w:customStyle="1" w:styleId="EndNoteBibliography">
    <w:name w:val="EndNote Bibliography"/>
    <w:basedOn w:val="Normal"/>
    <w:link w:val="EndNoteBibliographyChar"/>
    <w:rsid w:val="00E76BFD"/>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E76BFD"/>
    <w:rPr>
      <w:rFonts w:ascii="Calibri" w:hAnsi="Calibri"/>
      <w:noProof/>
    </w:rPr>
  </w:style>
  <w:style w:type="paragraph" w:styleId="Header">
    <w:name w:val="header"/>
    <w:basedOn w:val="Normal"/>
    <w:link w:val="HeaderChar"/>
    <w:uiPriority w:val="99"/>
    <w:unhideWhenUsed/>
    <w:rsid w:val="007D62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62D0"/>
  </w:style>
  <w:style w:type="paragraph" w:styleId="Footer">
    <w:name w:val="footer"/>
    <w:basedOn w:val="Normal"/>
    <w:link w:val="FooterChar"/>
    <w:uiPriority w:val="99"/>
    <w:unhideWhenUsed/>
    <w:rsid w:val="007D62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62D0"/>
  </w:style>
  <w:style w:type="table" w:styleId="LightShading-Accent1">
    <w:name w:val="Light Shading Accent 1"/>
    <w:basedOn w:val="TableNormal"/>
    <w:uiPriority w:val="60"/>
    <w:rsid w:val="00C1000D"/>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B5706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Accent1">
    <w:name w:val="Light List Accent 1"/>
    <w:basedOn w:val="TableNormal"/>
    <w:uiPriority w:val="61"/>
    <w:rsid w:val="005F622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LineNumber">
    <w:name w:val="line number"/>
    <w:basedOn w:val="DefaultParagraphFont"/>
    <w:uiPriority w:val="99"/>
    <w:semiHidden/>
    <w:unhideWhenUsed/>
    <w:rsid w:val="006A1B24"/>
  </w:style>
  <w:style w:type="table" w:styleId="LightList">
    <w:name w:val="Light List"/>
    <w:basedOn w:val="TableNormal"/>
    <w:uiPriority w:val="61"/>
    <w:rsid w:val="00140BC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31204">
      <w:bodyDiv w:val="1"/>
      <w:marLeft w:val="0"/>
      <w:marRight w:val="0"/>
      <w:marTop w:val="0"/>
      <w:marBottom w:val="0"/>
      <w:divBdr>
        <w:top w:val="none" w:sz="0" w:space="0" w:color="auto"/>
        <w:left w:val="none" w:sz="0" w:space="0" w:color="auto"/>
        <w:bottom w:val="none" w:sz="0" w:space="0" w:color="auto"/>
        <w:right w:val="none" w:sz="0" w:space="0" w:color="auto"/>
      </w:divBdr>
    </w:div>
    <w:div w:id="39092214">
      <w:bodyDiv w:val="1"/>
      <w:marLeft w:val="0"/>
      <w:marRight w:val="0"/>
      <w:marTop w:val="0"/>
      <w:marBottom w:val="0"/>
      <w:divBdr>
        <w:top w:val="none" w:sz="0" w:space="0" w:color="auto"/>
        <w:left w:val="none" w:sz="0" w:space="0" w:color="auto"/>
        <w:bottom w:val="none" w:sz="0" w:space="0" w:color="auto"/>
        <w:right w:val="none" w:sz="0" w:space="0" w:color="auto"/>
      </w:divBdr>
    </w:div>
    <w:div w:id="78528794">
      <w:bodyDiv w:val="1"/>
      <w:marLeft w:val="0"/>
      <w:marRight w:val="0"/>
      <w:marTop w:val="0"/>
      <w:marBottom w:val="0"/>
      <w:divBdr>
        <w:top w:val="none" w:sz="0" w:space="0" w:color="auto"/>
        <w:left w:val="none" w:sz="0" w:space="0" w:color="auto"/>
        <w:bottom w:val="none" w:sz="0" w:space="0" w:color="auto"/>
        <w:right w:val="none" w:sz="0" w:space="0" w:color="auto"/>
      </w:divBdr>
    </w:div>
    <w:div w:id="181550759">
      <w:bodyDiv w:val="1"/>
      <w:marLeft w:val="0"/>
      <w:marRight w:val="0"/>
      <w:marTop w:val="0"/>
      <w:marBottom w:val="0"/>
      <w:divBdr>
        <w:top w:val="none" w:sz="0" w:space="0" w:color="auto"/>
        <w:left w:val="none" w:sz="0" w:space="0" w:color="auto"/>
        <w:bottom w:val="none" w:sz="0" w:space="0" w:color="auto"/>
        <w:right w:val="none" w:sz="0" w:space="0" w:color="auto"/>
      </w:divBdr>
    </w:div>
    <w:div w:id="188373239">
      <w:bodyDiv w:val="1"/>
      <w:marLeft w:val="0"/>
      <w:marRight w:val="0"/>
      <w:marTop w:val="0"/>
      <w:marBottom w:val="0"/>
      <w:divBdr>
        <w:top w:val="none" w:sz="0" w:space="0" w:color="auto"/>
        <w:left w:val="none" w:sz="0" w:space="0" w:color="auto"/>
        <w:bottom w:val="none" w:sz="0" w:space="0" w:color="auto"/>
        <w:right w:val="none" w:sz="0" w:space="0" w:color="auto"/>
      </w:divBdr>
    </w:div>
    <w:div w:id="214120084">
      <w:bodyDiv w:val="1"/>
      <w:marLeft w:val="0"/>
      <w:marRight w:val="0"/>
      <w:marTop w:val="0"/>
      <w:marBottom w:val="0"/>
      <w:divBdr>
        <w:top w:val="none" w:sz="0" w:space="0" w:color="auto"/>
        <w:left w:val="none" w:sz="0" w:space="0" w:color="auto"/>
        <w:bottom w:val="none" w:sz="0" w:space="0" w:color="auto"/>
        <w:right w:val="none" w:sz="0" w:space="0" w:color="auto"/>
      </w:divBdr>
    </w:div>
    <w:div w:id="220799244">
      <w:bodyDiv w:val="1"/>
      <w:marLeft w:val="0"/>
      <w:marRight w:val="0"/>
      <w:marTop w:val="0"/>
      <w:marBottom w:val="0"/>
      <w:divBdr>
        <w:top w:val="none" w:sz="0" w:space="0" w:color="auto"/>
        <w:left w:val="none" w:sz="0" w:space="0" w:color="auto"/>
        <w:bottom w:val="none" w:sz="0" w:space="0" w:color="auto"/>
        <w:right w:val="none" w:sz="0" w:space="0" w:color="auto"/>
      </w:divBdr>
    </w:div>
    <w:div w:id="318460639">
      <w:bodyDiv w:val="1"/>
      <w:marLeft w:val="0"/>
      <w:marRight w:val="0"/>
      <w:marTop w:val="0"/>
      <w:marBottom w:val="0"/>
      <w:divBdr>
        <w:top w:val="none" w:sz="0" w:space="0" w:color="auto"/>
        <w:left w:val="none" w:sz="0" w:space="0" w:color="auto"/>
        <w:bottom w:val="none" w:sz="0" w:space="0" w:color="auto"/>
        <w:right w:val="none" w:sz="0" w:space="0" w:color="auto"/>
      </w:divBdr>
    </w:div>
    <w:div w:id="469447045">
      <w:bodyDiv w:val="1"/>
      <w:marLeft w:val="0"/>
      <w:marRight w:val="0"/>
      <w:marTop w:val="0"/>
      <w:marBottom w:val="0"/>
      <w:divBdr>
        <w:top w:val="none" w:sz="0" w:space="0" w:color="auto"/>
        <w:left w:val="none" w:sz="0" w:space="0" w:color="auto"/>
        <w:bottom w:val="none" w:sz="0" w:space="0" w:color="auto"/>
        <w:right w:val="none" w:sz="0" w:space="0" w:color="auto"/>
      </w:divBdr>
    </w:div>
    <w:div w:id="535194136">
      <w:bodyDiv w:val="1"/>
      <w:marLeft w:val="0"/>
      <w:marRight w:val="0"/>
      <w:marTop w:val="0"/>
      <w:marBottom w:val="0"/>
      <w:divBdr>
        <w:top w:val="none" w:sz="0" w:space="0" w:color="auto"/>
        <w:left w:val="none" w:sz="0" w:space="0" w:color="auto"/>
        <w:bottom w:val="none" w:sz="0" w:space="0" w:color="auto"/>
        <w:right w:val="none" w:sz="0" w:space="0" w:color="auto"/>
      </w:divBdr>
    </w:div>
    <w:div w:id="541553097">
      <w:bodyDiv w:val="1"/>
      <w:marLeft w:val="0"/>
      <w:marRight w:val="0"/>
      <w:marTop w:val="0"/>
      <w:marBottom w:val="0"/>
      <w:divBdr>
        <w:top w:val="none" w:sz="0" w:space="0" w:color="auto"/>
        <w:left w:val="none" w:sz="0" w:space="0" w:color="auto"/>
        <w:bottom w:val="none" w:sz="0" w:space="0" w:color="auto"/>
        <w:right w:val="none" w:sz="0" w:space="0" w:color="auto"/>
      </w:divBdr>
    </w:div>
    <w:div w:id="545071394">
      <w:bodyDiv w:val="1"/>
      <w:marLeft w:val="0"/>
      <w:marRight w:val="0"/>
      <w:marTop w:val="0"/>
      <w:marBottom w:val="0"/>
      <w:divBdr>
        <w:top w:val="none" w:sz="0" w:space="0" w:color="auto"/>
        <w:left w:val="none" w:sz="0" w:space="0" w:color="auto"/>
        <w:bottom w:val="none" w:sz="0" w:space="0" w:color="auto"/>
        <w:right w:val="none" w:sz="0" w:space="0" w:color="auto"/>
      </w:divBdr>
    </w:div>
    <w:div w:id="548415831">
      <w:bodyDiv w:val="1"/>
      <w:marLeft w:val="0"/>
      <w:marRight w:val="0"/>
      <w:marTop w:val="0"/>
      <w:marBottom w:val="0"/>
      <w:divBdr>
        <w:top w:val="none" w:sz="0" w:space="0" w:color="auto"/>
        <w:left w:val="none" w:sz="0" w:space="0" w:color="auto"/>
        <w:bottom w:val="none" w:sz="0" w:space="0" w:color="auto"/>
        <w:right w:val="none" w:sz="0" w:space="0" w:color="auto"/>
      </w:divBdr>
    </w:div>
    <w:div w:id="579022372">
      <w:bodyDiv w:val="1"/>
      <w:marLeft w:val="0"/>
      <w:marRight w:val="0"/>
      <w:marTop w:val="0"/>
      <w:marBottom w:val="0"/>
      <w:divBdr>
        <w:top w:val="none" w:sz="0" w:space="0" w:color="auto"/>
        <w:left w:val="none" w:sz="0" w:space="0" w:color="auto"/>
        <w:bottom w:val="none" w:sz="0" w:space="0" w:color="auto"/>
        <w:right w:val="none" w:sz="0" w:space="0" w:color="auto"/>
      </w:divBdr>
    </w:div>
    <w:div w:id="654533428">
      <w:bodyDiv w:val="1"/>
      <w:marLeft w:val="0"/>
      <w:marRight w:val="0"/>
      <w:marTop w:val="0"/>
      <w:marBottom w:val="0"/>
      <w:divBdr>
        <w:top w:val="none" w:sz="0" w:space="0" w:color="auto"/>
        <w:left w:val="none" w:sz="0" w:space="0" w:color="auto"/>
        <w:bottom w:val="none" w:sz="0" w:space="0" w:color="auto"/>
        <w:right w:val="none" w:sz="0" w:space="0" w:color="auto"/>
      </w:divBdr>
    </w:div>
    <w:div w:id="665212964">
      <w:bodyDiv w:val="1"/>
      <w:marLeft w:val="0"/>
      <w:marRight w:val="0"/>
      <w:marTop w:val="0"/>
      <w:marBottom w:val="0"/>
      <w:divBdr>
        <w:top w:val="none" w:sz="0" w:space="0" w:color="auto"/>
        <w:left w:val="none" w:sz="0" w:space="0" w:color="auto"/>
        <w:bottom w:val="none" w:sz="0" w:space="0" w:color="auto"/>
        <w:right w:val="none" w:sz="0" w:space="0" w:color="auto"/>
      </w:divBdr>
    </w:div>
    <w:div w:id="680863206">
      <w:bodyDiv w:val="1"/>
      <w:marLeft w:val="0"/>
      <w:marRight w:val="0"/>
      <w:marTop w:val="0"/>
      <w:marBottom w:val="0"/>
      <w:divBdr>
        <w:top w:val="none" w:sz="0" w:space="0" w:color="auto"/>
        <w:left w:val="none" w:sz="0" w:space="0" w:color="auto"/>
        <w:bottom w:val="none" w:sz="0" w:space="0" w:color="auto"/>
        <w:right w:val="none" w:sz="0" w:space="0" w:color="auto"/>
      </w:divBdr>
    </w:div>
    <w:div w:id="691417265">
      <w:bodyDiv w:val="1"/>
      <w:marLeft w:val="0"/>
      <w:marRight w:val="0"/>
      <w:marTop w:val="0"/>
      <w:marBottom w:val="0"/>
      <w:divBdr>
        <w:top w:val="none" w:sz="0" w:space="0" w:color="auto"/>
        <w:left w:val="none" w:sz="0" w:space="0" w:color="auto"/>
        <w:bottom w:val="none" w:sz="0" w:space="0" w:color="auto"/>
        <w:right w:val="none" w:sz="0" w:space="0" w:color="auto"/>
      </w:divBdr>
    </w:div>
    <w:div w:id="714696042">
      <w:bodyDiv w:val="1"/>
      <w:marLeft w:val="0"/>
      <w:marRight w:val="0"/>
      <w:marTop w:val="0"/>
      <w:marBottom w:val="0"/>
      <w:divBdr>
        <w:top w:val="none" w:sz="0" w:space="0" w:color="auto"/>
        <w:left w:val="none" w:sz="0" w:space="0" w:color="auto"/>
        <w:bottom w:val="none" w:sz="0" w:space="0" w:color="auto"/>
        <w:right w:val="none" w:sz="0" w:space="0" w:color="auto"/>
      </w:divBdr>
    </w:div>
    <w:div w:id="763261221">
      <w:bodyDiv w:val="1"/>
      <w:marLeft w:val="0"/>
      <w:marRight w:val="0"/>
      <w:marTop w:val="0"/>
      <w:marBottom w:val="0"/>
      <w:divBdr>
        <w:top w:val="none" w:sz="0" w:space="0" w:color="auto"/>
        <w:left w:val="none" w:sz="0" w:space="0" w:color="auto"/>
        <w:bottom w:val="none" w:sz="0" w:space="0" w:color="auto"/>
        <w:right w:val="none" w:sz="0" w:space="0" w:color="auto"/>
      </w:divBdr>
    </w:div>
    <w:div w:id="764688155">
      <w:bodyDiv w:val="1"/>
      <w:marLeft w:val="0"/>
      <w:marRight w:val="0"/>
      <w:marTop w:val="0"/>
      <w:marBottom w:val="0"/>
      <w:divBdr>
        <w:top w:val="none" w:sz="0" w:space="0" w:color="auto"/>
        <w:left w:val="none" w:sz="0" w:space="0" w:color="auto"/>
        <w:bottom w:val="none" w:sz="0" w:space="0" w:color="auto"/>
        <w:right w:val="none" w:sz="0" w:space="0" w:color="auto"/>
      </w:divBdr>
    </w:div>
    <w:div w:id="820118428">
      <w:bodyDiv w:val="1"/>
      <w:marLeft w:val="0"/>
      <w:marRight w:val="0"/>
      <w:marTop w:val="0"/>
      <w:marBottom w:val="0"/>
      <w:divBdr>
        <w:top w:val="none" w:sz="0" w:space="0" w:color="auto"/>
        <w:left w:val="none" w:sz="0" w:space="0" w:color="auto"/>
        <w:bottom w:val="none" w:sz="0" w:space="0" w:color="auto"/>
        <w:right w:val="none" w:sz="0" w:space="0" w:color="auto"/>
      </w:divBdr>
    </w:div>
    <w:div w:id="846018535">
      <w:bodyDiv w:val="1"/>
      <w:marLeft w:val="0"/>
      <w:marRight w:val="0"/>
      <w:marTop w:val="0"/>
      <w:marBottom w:val="0"/>
      <w:divBdr>
        <w:top w:val="none" w:sz="0" w:space="0" w:color="auto"/>
        <w:left w:val="none" w:sz="0" w:space="0" w:color="auto"/>
        <w:bottom w:val="none" w:sz="0" w:space="0" w:color="auto"/>
        <w:right w:val="none" w:sz="0" w:space="0" w:color="auto"/>
      </w:divBdr>
    </w:div>
    <w:div w:id="941836057">
      <w:bodyDiv w:val="1"/>
      <w:marLeft w:val="0"/>
      <w:marRight w:val="0"/>
      <w:marTop w:val="0"/>
      <w:marBottom w:val="0"/>
      <w:divBdr>
        <w:top w:val="none" w:sz="0" w:space="0" w:color="auto"/>
        <w:left w:val="none" w:sz="0" w:space="0" w:color="auto"/>
        <w:bottom w:val="none" w:sz="0" w:space="0" w:color="auto"/>
        <w:right w:val="none" w:sz="0" w:space="0" w:color="auto"/>
      </w:divBdr>
    </w:div>
    <w:div w:id="960115689">
      <w:bodyDiv w:val="1"/>
      <w:marLeft w:val="0"/>
      <w:marRight w:val="0"/>
      <w:marTop w:val="0"/>
      <w:marBottom w:val="0"/>
      <w:divBdr>
        <w:top w:val="none" w:sz="0" w:space="0" w:color="auto"/>
        <w:left w:val="none" w:sz="0" w:space="0" w:color="auto"/>
        <w:bottom w:val="none" w:sz="0" w:space="0" w:color="auto"/>
        <w:right w:val="none" w:sz="0" w:space="0" w:color="auto"/>
      </w:divBdr>
    </w:div>
    <w:div w:id="964118764">
      <w:bodyDiv w:val="1"/>
      <w:marLeft w:val="0"/>
      <w:marRight w:val="0"/>
      <w:marTop w:val="0"/>
      <w:marBottom w:val="0"/>
      <w:divBdr>
        <w:top w:val="none" w:sz="0" w:space="0" w:color="auto"/>
        <w:left w:val="none" w:sz="0" w:space="0" w:color="auto"/>
        <w:bottom w:val="none" w:sz="0" w:space="0" w:color="auto"/>
        <w:right w:val="none" w:sz="0" w:space="0" w:color="auto"/>
      </w:divBdr>
    </w:div>
    <w:div w:id="1070427710">
      <w:bodyDiv w:val="1"/>
      <w:marLeft w:val="0"/>
      <w:marRight w:val="0"/>
      <w:marTop w:val="0"/>
      <w:marBottom w:val="0"/>
      <w:divBdr>
        <w:top w:val="none" w:sz="0" w:space="0" w:color="auto"/>
        <w:left w:val="none" w:sz="0" w:space="0" w:color="auto"/>
        <w:bottom w:val="none" w:sz="0" w:space="0" w:color="auto"/>
        <w:right w:val="none" w:sz="0" w:space="0" w:color="auto"/>
      </w:divBdr>
    </w:div>
    <w:div w:id="1079905744">
      <w:bodyDiv w:val="1"/>
      <w:marLeft w:val="0"/>
      <w:marRight w:val="0"/>
      <w:marTop w:val="0"/>
      <w:marBottom w:val="0"/>
      <w:divBdr>
        <w:top w:val="none" w:sz="0" w:space="0" w:color="auto"/>
        <w:left w:val="none" w:sz="0" w:space="0" w:color="auto"/>
        <w:bottom w:val="none" w:sz="0" w:space="0" w:color="auto"/>
        <w:right w:val="none" w:sz="0" w:space="0" w:color="auto"/>
      </w:divBdr>
    </w:div>
    <w:div w:id="1122573132">
      <w:bodyDiv w:val="1"/>
      <w:marLeft w:val="0"/>
      <w:marRight w:val="0"/>
      <w:marTop w:val="0"/>
      <w:marBottom w:val="0"/>
      <w:divBdr>
        <w:top w:val="none" w:sz="0" w:space="0" w:color="auto"/>
        <w:left w:val="none" w:sz="0" w:space="0" w:color="auto"/>
        <w:bottom w:val="none" w:sz="0" w:space="0" w:color="auto"/>
        <w:right w:val="none" w:sz="0" w:space="0" w:color="auto"/>
      </w:divBdr>
    </w:div>
    <w:div w:id="1136289311">
      <w:bodyDiv w:val="1"/>
      <w:marLeft w:val="0"/>
      <w:marRight w:val="0"/>
      <w:marTop w:val="0"/>
      <w:marBottom w:val="0"/>
      <w:divBdr>
        <w:top w:val="none" w:sz="0" w:space="0" w:color="auto"/>
        <w:left w:val="none" w:sz="0" w:space="0" w:color="auto"/>
        <w:bottom w:val="none" w:sz="0" w:space="0" w:color="auto"/>
        <w:right w:val="none" w:sz="0" w:space="0" w:color="auto"/>
      </w:divBdr>
    </w:div>
    <w:div w:id="1146437104">
      <w:bodyDiv w:val="1"/>
      <w:marLeft w:val="0"/>
      <w:marRight w:val="0"/>
      <w:marTop w:val="0"/>
      <w:marBottom w:val="0"/>
      <w:divBdr>
        <w:top w:val="none" w:sz="0" w:space="0" w:color="auto"/>
        <w:left w:val="none" w:sz="0" w:space="0" w:color="auto"/>
        <w:bottom w:val="none" w:sz="0" w:space="0" w:color="auto"/>
        <w:right w:val="none" w:sz="0" w:space="0" w:color="auto"/>
      </w:divBdr>
    </w:div>
    <w:div w:id="1179738610">
      <w:bodyDiv w:val="1"/>
      <w:marLeft w:val="0"/>
      <w:marRight w:val="0"/>
      <w:marTop w:val="0"/>
      <w:marBottom w:val="0"/>
      <w:divBdr>
        <w:top w:val="none" w:sz="0" w:space="0" w:color="auto"/>
        <w:left w:val="none" w:sz="0" w:space="0" w:color="auto"/>
        <w:bottom w:val="none" w:sz="0" w:space="0" w:color="auto"/>
        <w:right w:val="none" w:sz="0" w:space="0" w:color="auto"/>
      </w:divBdr>
    </w:div>
    <w:div w:id="1213495280">
      <w:bodyDiv w:val="1"/>
      <w:marLeft w:val="0"/>
      <w:marRight w:val="0"/>
      <w:marTop w:val="0"/>
      <w:marBottom w:val="0"/>
      <w:divBdr>
        <w:top w:val="none" w:sz="0" w:space="0" w:color="auto"/>
        <w:left w:val="none" w:sz="0" w:space="0" w:color="auto"/>
        <w:bottom w:val="none" w:sz="0" w:space="0" w:color="auto"/>
        <w:right w:val="none" w:sz="0" w:space="0" w:color="auto"/>
      </w:divBdr>
    </w:div>
    <w:div w:id="1265570948">
      <w:bodyDiv w:val="1"/>
      <w:marLeft w:val="0"/>
      <w:marRight w:val="0"/>
      <w:marTop w:val="0"/>
      <w:marBottom w:val="0"/>
      <w:divBdr>
        <w:top w:val="none" w:sz="0" w:space="0" w:color="auto"/>
        <w:left w:val="none" w:sz="0" w:space="0" w:color="auto"/>
        <w:bottom w:val="none" w:sz="0" w:space="0" w:color="auto"/>
        <w:right w:val="none" w:sz="0" w:space="0" w:color="auto"/>
      </w:divBdr>
    </w:div>
    <w:div w:id="1323050636">
      <w:bodyDiv w:val="1"/>
      <w:marLeft w:val="0"/>
      <w:marRight w:val="0"/>
      <w:marTop w:val="0"/>
      <w:marBottom w:val="0"/>
      <w:divBdr>
        <w:top w:val="none" w:sz="0" w:space="0" w:color="auto"/>
        <w:left w:val="none" w:sz="0" w:space="0" w:color="auto"/>
        <w:bottom w:val="none" w:sz="0" w:space="0" w:color="auto"/>
        <w:right w:val="none" w:sz="0" w:space="0" w:color="auto"/>
      </w:divBdr>
    </w:div>
    <w:div w:id="1332684210">
      <w:bodyDiv w:val="1"/>
      <w:marLeft w:val="0"/>
      <w:marRight w:val="0"/>
      <w:marTop w:val="0"/>
      <w:marBottom w:val="0"/>
      <w:divBdr>
        <w:top w:val="none" w:sz="0" w:space="0" w:color="auto"/>
        <w:left w:val="none" w:sz="0" w:space="0" w:color="auto"/>
        <w:bottom w:val="none" w:sz="0" w:space="0" w:color="auto"/>
        <w:right w:val="none" w:sz="0" w:space="0" w:color="auto"/>
      </w:divBdr>
    </w:div>
    <w:div w:id="1333607986">
      <w:bodyDiv w:val="1"/>
      <w:marLeft w:val="0"/>
      <w:marRight w:val="0"/>
      <w:marTop w:val="0"/>
      <w:marBottom w:val="0"/>
      <w:divBdr>
        <w:top w:val="none" w:sz="0" w:space="0" w:color="auto"/>
        <w:left w:val="none" w:sz="0" w:space="0" w:color="auto"/>
        <w:bottom w:val="none" w:sz="0" w:space="0" w:color="auto"/>
        <w:right w:val="none" w:sz="0" w:space="0" w:color="auto"/>
      </w:divBdr>
    </w:div>
    <w:div w:id="1346247354">
      <w:bodyDiv w:val="1"/>
      <w:marLeft w:val="0"/>
      <w:marRight w:val="0"/>
      <w:marTop w:val="0"/>
      <w:marBottom w:val="0"/>
      <w:divBdr>
        <w:top w:val="none" w:sz="0" w:space="0" w:color="auto"/>
        <w:left w:val="none" w:sz="0" w:space="0" w:color="auto"/>
        <w:bottom w:val="none" w:sz="0" w:space="0" w:color="auto"/>
        <w:right w:val="none" w:sz="0" w:space="0" w:color="auto"/>
      </w:divBdr>
      <w:divsChild>
        <w:div w:id="1825586392">
          <w:marLeft w:val="0"/>
          <w:marRight w:val="0"/>
          <w:marTop w:val="0"/>
          <w:marBottom w:val="0"/>
          <w:divBdr>
            <w:top w:val="none" w:sz="0" w:space="0" w:color="auto"/>
            <w:left w:val="none" w:sz="0" w:space="0" w:color="auto"/>
            <w:bottom w:val="none" w:sz="0" w:space="0" w:color="auto"/>
            <w:right w:val="none" w:sz="0" w:space="0" w:color="auto"/>
          </w:divBdr>
          <w:divsChild>
            <w:div w:id="1818721675">
              <w:marLeft w:val="0"/>
              <w:marRight w:val="0"/>
              <w:marTop w:val="0"/>
              <w:marBottom w:val="0"/>
              <w:divBdr>
                <w:top w:val="none" w:sz="0" w:space="0" w:color="auto"/>
                <w:left w:val="none" w:sz="0" w:space="0" w:color="auto"/>
                <w:bottom w:val="none" w:sz="0" w:space="0" w:color="auto"/>
                <w:right w:val="none" w:sz="0" w:space="0" w:color="auto"/>
              </w:divBdr>
              <w:divsChild>
                <w:div w:id="100995856">
                  <w:marLeft w:val="0"/>
                  <w:marRight w:val="0"/>
                  <w:marTop w:val="100"/>
                  <w:marBottom w:val="100"/>
                  <w:divBdr>
                    <w:top w:val="none" w:sz="0" w:space="0" w:color="auto"/>
                    <w:left w:val="none" w:sz="0" w:space="0" w:color="auto"/>
                    <w:bottom w:val="none" w:sz="0" w:space="0" w:color="auto"/>
                    <w:right w:val="none" w:sz="0" w:space="0" w:color="auto"/>
                  </w:divBdr>
                  <w:divsChild>
                    <w:div w:id="602543095">
                      <w:marLeft w:val="0"/>
                      <w:marRight w:val="0"/>
                      <w:marTop w:val="0"/>
                      <w:marBottom w:val="0"/>
                      <w:divBdr>
                        <w:top w:val="none" w:sz="0" w:space="0" w:color="auto"/>
                        <w:left w:val="none" w:sz="0" w:space="0" w:color="auto"/>
                        <w:bottom w:val="none" w:sz="0" w:space="0" w:color="auto"/>
                        <w:right w:val="none" w:sz="0" w:space="0" w:color="auto"/>
                      </w:divBdr>
                      <w:divsChild>
                        <w:div w:id="1901282320">
                          <w:marLeft w:val="0"/>
                          <w:marRight w:val="0"/>
                          <w:marTop w:val="0"/>
                          <w:marBottom w:val="0"/>
                          <w:divBdr>
                            <w:top w:val="none" w:sz="0" w:space="0" w:color="auto"/>
                            <w:left w:val="none" w:sz="0" w:space="0" w:color="auto"/>
                            <w:bottom w:val="none" w:sz="0" w:space="0" w:color="auto"/>
                            <w:right w:val="none" w:sz="0" w:space="0" w:color="auto"/>
                          </w:divBdr>
                          <w:divsChild>
                            <w:div w:id="1479565348">
                              <w:marLeft w:val="0"/>
                              <w:marRight w:val="0"/>
                              <w:marTop w:val="0"/>
                              <w:marBottom w:val="0"/>
                              <w:divBdr>
                                <w:top w:val="none" w:sz="0" w:space="0" w:color="auto"/>
                                <w:left w:val="none" w:sz="0" w:space="0" w:color="auto"/>
                                <w:bottom w:val="none" w:sz="0" w:space="0" w:color="auto"/>
                                <w:right w:val="none" w:sz="0" w:space="0" w:color="auto"/>
                              </w:divBdr>
                              <w:divsChild>
                                <w:div w:id="1492595171">
                                  <w:marLeft w:val="0"/>
                                  <w:marRight w:val="0"/>
                                  <w:marTop w:val="0"/>
                                  <w:marBottom w:val="0"/>
                                  <w:divBdr>
                                    <w:top w:val="none" w:sz="0" w:space="0" w:color="auto"/>
                                    <w:left w:val="none" w:sz="0" w:space="0" w:color="auto"/>
                                    <w:bottom w:val="none" w:sz="0" w:space="0" w:color="auto"/>
                                    <w:right w:val="none" w:sz="0" w:space="0" w:color="auto"/>
                                  </w:divBdr>
                                  <w:divsChild>
                                    <w:div w:id="1309553853">
                                      <w:marLeft w:val="0"/>
                                      <w:marRight w:val="0"/>
                                      <w:marTop w:val="0"/>
                                      <w:marBottom w:val="0"/>
                                      <w:divBdr>
                                        <w:top w:val="none" w:sz="0" w:space="0" w:color="auto"/>
                                        <w:left w:val="none" w:sz="0" w:space="0" w:color="auto"/>
                                        <w:bottom w:val="none" w:sz="0" w:space="0" w:color="auto"/>
                                        <w:right w:val="none" w:sz="0" w:space="0" w:color="auto"/>
                                      </w:divBdr>
                                      <w:divsChild>
                                        <w:div w:id="422841740">
                                          <w:marLeft w:val="0"/>
                                          <w:marRight w:val="0"/>
                                          <w:marTop w:val="0"/>
                                          <w:marBottom w:val="0"/>
                                          <w:divBdr>
                                            <w:top w:val="none" w:sz="0" w:space="0" w:color="auto"/>
                                            <w:left w:val="none" w:sz="0" w:space="0" w:color="auto"/>
                                            <w:bottom w:val="none" w:sz="0" w:space="0" w:color="auto"/>
                                            <w:right w:val="none" w:sz="0" w:space="0" w:color="auto"/>
                                          </w:divBdr>
                                          <w:divsChild>
                                            <w:div w:id="287905564">
                                              <w:marLeft w:val="0"/>
                                              <w:marRight w:val="0"/>
                                              <w:marTop w:val="0"/>
                                              <w:marBottom w:val="0"/>
                                              <w:divBdr>
                                                <w:top w:val="none" w:sz="0" w:space="0" w:color="auto"/>
                                                <w:left w:val="none" w:sz="0" w:space="0" w:color="auto"/>
                                                <w:bottom w:val="none" w:sz="0" w:space="0" w:color="auto"/>
                                                <w:right w:val="none" w:sz="0" w:space="0" w:color="auto"/>
                                              </w:divBdr>
                                              <w:divsChild>
                                                <w:div w:id="571081555">
                                                  <w:marLeft w:val="0"/>
                                                  <w:marRight w:val="0"/>
                                                  <w:marTop w:val="0"/>
                                                  <w:marBottom w:val="0"/>
                                                  <w:divBdr>
                                                    <w:top w:val="none" w:sz="0" w:space="0" w:color="auto"/>
                                                    <w:left w:val="none" w:sz="0" w:space="0" w:color="auto"/>
                                                    <w:bottom w:val="none" w:sz="0" w:space="0" w:color="auto"/>
                                                    <w:right w:val="none" w:sz="0" w:space="0" w:color="auto"/>
                                                  </w:divBdr>
                                                  <w:divsChild>
                                                    <w:div w:id="555969007">
                                                      <w:marLeft w:val="0"/>
                                                      <w:marRight w:val="0"/>
                                                      <w:marTop w:val="150"/>
                                                      <w:marBottom w:val="150"/>
                                                      <w:divBdr>
                                                        <w:top w:val="single" w:sz="6" w:space="8" w:color="0B3160"/>
                                                        <w:left w:val="none" w:sz="0" w:space="0" w:color="auto"/>
                                                        <w:bottom w:val="none" w:sz="0" w:space="0" w:color="auto"/>
                                                        <w:right w:val="none" w:sz="0" w:space="0" w:color="auto"/>
                                                      </w:divBdr>
                                                      <w:divsChild>
                                                        <w:div w:id="19997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83600947">
      <w:bodyDiv w:val="1"/>
      <w:marLeft w:val="0"/>
      <w:marRight w:val="0"/>
      <w:marTop w:val="0"/>
      <w:marBottom w:val="0"/>
      <w:divBdr>
        <w:top w:val="none" w:sz="0" w:space="0" w:color="auto"/>
        <w:left w:val="none" w:sz="0" w:space="0" w:color="auto"/>
        <w:bottom w:val="none" w:sz="0" w:space="0" w:color="auto"/>
        <w:right w:val="none" w:sz="0" w:space="0" w:color="auto"/>
      </w:divBdr>
    </w:div>
    <w:div w:id="1449929005">
      <w:bodyDiv w:val="1"/>
      <w:marLeft w:val="0"/>
      <w:marRight w:val="0"/>
      <w:marTop w:val="0"/>
      <w:marBottom w:val="0"/>
      <w:divBdr>
        <w:top w:val="none" w:sz="0" w:space="0" w:color="auto"/>
        <w:left w:val="none" w:sz="0" w:space="0" w:color="auto"/>
        <w:bottom w:val="none" w:sz="0" w:space="0" w:color="auto"/>
        <w:right w:val="none" w:sz="0" w:space="0" w:color="auto"/>
      </w:divBdr>
    </w:div>
    <w:div w:id="1532642617">
      <w:bodyDiv w:val="1"/>
      <w:marLeft w:val="0"/>
      <w:marRight w:val="0"/>
      <w:marTop w:val="0"/>
      <w:marBottom w:val="0"/>
      <w:divBdr>
        <w:top w:val="none" w:sz="0" w:space="0" w:color="auto"/>
        <w:left w:val="none" w:sz="0" w:space="0" w:color="auto"/>
        <w:bottom w:val="none" w:sz="0" w:space="0" w:color="auto"/>
        <w:right w:val="none" w:sz="0" w:space="0" w:color="auto"/>
      </w:divBdr>
      <w:divsChild>
        <w:div w:id="1667896254">
          <w:marLeft w:val="0"/>
          <w:marRight w:val="1"/>
          <w:marTop w:val="0"/>
          <w:marBottom w:val="0"/>
          <w:divBdr>
            <w:top w:val="none" w:sz="0" w:space="0" w:color="auto"/>
            <w:left w:val="none" w:sz="0" w:space="0" w:color="auto"/>
            <w:bottom w:val="none" w:sz="0" w:space="0" w:color="auto"/>
            <w:right w:val="none" w:sz="0" w:space="0" w:color="auto"/>
          </w:divBdr>
          <w:divsChild>
            <w:div w:id="841360666">
              <w:marLeft w:val="0"/>
              <w:marRight w:val="0"/>
              <w:marTop w:val="0"/>
              <w:marBottom w:val="0"/>
              <w:divBdr>
                <w:top w:val="none" w:sz="0" w:space="0" w:color="auto"/>
                <w:left w:val="none" w:sz="0" w:space="0" w:color="auto"/>
                <w:bottom w:val="none" w:sz="0" w:space="0" w:color="auto"/>
                <w:right w:val="none" w:sz="0" w:space="0" w:color="auto"/>
              </w:divBdr>
              <w:divsChild>
                <w:div w:id="153375861">
                  <w:marLeft w:val="0"/>
                  <w:marRight w:val="1"/>
                  <w:marTop w:val="0"/>
                  <w:marBottom w:val="0"/>
                  <w:divBdr>
                    <w:top w:val="none" w:sz="0" w:space="0" w:color="auto"/>
                    <w:left w:val="none" w:sz="0" w:space="0" w:color="auto"/>
                    <w:bottom w:val="none" w:sz="0" w:space="0" w:color="auto"/>
                    <w:right w:val="none" w:sz="0" w:space="0" w:color="auto"/>
                  </w:divBdr>
                  <w:divsChild>
                    <w:div w:id="703292456">
                      <w:marLeft w:val="0"/>
                      <w:marRight w:val="0"/>
                      <w:marTop w:val="0"/>
                      <w:marBottom w:val="0"/>
                      <w:divBdr>
                        <w:top w:val="none" w:sz="0" w:space="0" w:color="auto"/>
                        <w:left w:val="none" w:sz="0" w:space="0" w:color="auto"/>
                        <w:bottom w:val="none" w:sz="0" w:space="0" w:color="auto"/>
                        <w:right w:val="none" w:sz="0" w:space="0" w:color="auto"/>
                      </w:divBdr>
                      <w:divsChild>
                        <w:div w:id="2085837077">
                          <w:marLeft w:val="0"/>
                          <w:marRight w:val="0"/>
                          <w:marTop w:val="0"/>
                          <w:marBottom w:val="0"/>
                          <w:divBdr>
                            <w:top w:val="none" w:sz="0" w:space="0" w:color="auto"/>
                            <w:left w:val="none" w:sz="0" w:space="0" w:color="auto"/>
                            <w:bottom w:val="none" w:sz="0" w:space="0" w:color="auto"/>
                            <w:right w:val="none" w:sz="0" w:space="0" w:color="auto"/>
                          </w:divBdr>
                          <w:divsChild>
                            <w:div w:id="285742969">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366487">
      <w:bodyDiv w:val="1"/>
      <w:marLeft w:val="0"/>
      <w:marRight w:val="0"/>
      <w:marTop w:val="0"/>
      <w:marBottom w:val="0"/>
      <w:divBdr>
        <w:top w:val="none" w:sz="0" w:space="0" w:color="auto"/>
        <w:left w:val="none" w:sz="0" w:space="0" w:color="auto"/>
        <w:bottom w:val="none" w:sz="0" w:space="0" w:color="auto"/>
        <w:right w:val="none" w:sz="0" w:space="0" w:color="auto"/>
      </w:divBdr>
      <w:divsChild>
        <w:div w:id="2027559109">
          <w:marLeft w:val="0"/>
          <w:marRight w:val="0"/>
          <w:marTop w:val="0"/>
          <w:marBottom w:val="0"/>
          <w:divBdr>
            <w:top w:val="none" w:sz="0" w:space="0" w:color="auto"/>
            <w:left w:val="none" w:sz="0" w:space="0" w:color="auto"/>
            <w:bottom w:val="none" w:sz="0" w:space="0" w:color="auto"/>
            <w:right w:val="none" w:sz="0" w:space="0" w:color="auto"/>
          </w:divBdr>
          <w:divsChild>
            <w:div w:id="1782066843">
              <w:marLeft w:val="0"/>
              <w:marRight w:val="0"/>
              <w:marTop w:val="0"/>
              <w:marBottom w:val="0"/>
              <w:divBdr>
                <w:top w:val="none" w:sz="0" w:space="0" w:color="auto"/>
                <w:left w:val="none" w:sz="0" w:space="0" w:color="auto"/>
                <w:bottom w:val="none" w:sz="0" w:space="0" w:color="auto"/>
                <w:right w:val="none" w:sz="0" w:space="0" w:color="auto"/>
              </w:divBdr>
              <w:divsChild>
                <w:div w:id="391345730">
                  <w:marLeft w:val="0"/>
                  <w:marRight w:val="0"/>
                  <w:marTop w:val="100"/>
                  <w:marBottom w:val="100"/>
                  <w:divBdr>
                    <w:top w:val="none" w:sz="0" w:space="0" w:color="auto"/>
                    <w:left w:val="none" w:sz="0" w:space="0" w:color="auto"/>
                    <w:bottom w:val="none" w:sz="0" w:space="0" w:color="auto"/>
                    <w:right w:val="none" w:sz="0" w:space="0" w:color="auto"/>
                  </w:divBdr>
                  <w:divsChild>
                    <w:div w:id="1919710073">
                      <w:marLeft w:val="0"/>
                      <w:marRight w:val="0"/>
                      <w:marTop w:val="0"/>
                      <w:marBottom w:val="0"/>
                      <w:divBdr>
                        <w:top w:val="none" w:sz="0" w:space="0" w:color="auto"/>
                        <w:left w:val="none" w:sz="0" w:space="0" w:color="auto"/>
                        <w:bottom w:val="none" w:sz="0" w:space="0" w:color="auto"/>
                        <w:right w:val="none" w:sz="0" w:space="0" w:color="auto"/>
                      </w:divBdr>
                      <w:divsChild>
                        <w:div w:id="655182025">
                          <w:marLeft w:val="0"/>
                          <w:marRight w:val="0"/>
                          <w:marTop w:val="0"/>
                          <w:marBottom w:val="0"/>
                          <w:divBdr>
                            <w:top w:val="none" w:sz="0" w:space="0" w:color="auto"/>
                            <w:left w:val="none" w:sz="0" w:space="0" w:color="auto"/>
                            <w:bottom w:val="none" w:sz="0" w:space="0" w:color="auto"/>
                            <w:right w:val="none" w:sz="0" w:space="0" w:color="auto"/>
                          </w:divBdr>
                          <w:divsChild>
                            <w:div w:id="1345787783">
                              <w:marLeft w:val="0"/>
                              <w:marRight w:val="0"/>
                              <w:marTop w:val="0"/>
                              <w:marBottom w:val="0"/>
                              <w:divBdr>
                                <w:top w:val="none" w:sz="0" w:space="0" w:color="auto"/>
                                <w:left w:val="none" w:sz="0" w:space="0" w:color="auto"/>
                                <w:bottom w:val="none" w:sz="0" w:space="0" w:color="auto"/>
                                <w:right w:val="none" w:sz="0" w:space="0" w:color="auto"/>
                              </w:divBdr>
                              <w:divsChild>
                                <w:div w:id="1876581548">
                                  <w:marLeft w:val="0"/>
                                  <w:marRight w:val="0"/>
                                  <w:marTop w:val="0"/>
                                  <w:marBottom w:val="0"/>
                                  <w:divBdr>
                                    <w:top w:val="none" w:sz="0" w:space="0" w:color="auto"/>
                                    <w:left w:val="none" w:sz="0" w:space="0" w:color="auto"/>
                                    <w:bottom w:val="none" w:sz="0" w:space="0" w:color="auto"/>
                                    <w:right w:val="none" w:sz="0" w:space="0" w:color="auto"/>
                                  </w:divBdr>
                                  <w:divsChild>
                                    <w:div w:id="746464688">
                                      <w:marLeft w:val="0"/>
                                      <w:marRight w:val="0"/>
                                      <w:marTop w:val="0"/>
                                      <w:marBottom w:val="0"/>
                                      <w:divBdr>
                                        <w:top w:val="none" w:sz="0" w:space="0" w:color="auto"/>
                                        <w:left w:val="none" w:sz="0" w:space="0" w:color="auto"/>
                                        <w:bottom w:val="none" w:sz="0" w:space="0" w:color="auto"/>
                                        <w:right w:val="none" w:sz="0" w:space="0" w:color="auto"/>
                                      </w:divBdr>
                                      <w:divsChild>
                                        <w:div w:id="409620193">
                                          <w:marLeft w:val="0"/>
                                          <w:marRight w:val="0"/>
                                          <w:marTop w:val="0"/>
                                          <w:marBottom w:val="0"/>
                                          <w:divBdr>
                                            <w:top w:val="none" w:sz="0" w:space="0" w:color="auto"/>
                                            <w:left w:val="none" w:sz="0" w:space="0" w:color="auto"/>
                                            <w:bottom w:val="none" w:sz="0" w:space="0" w:color="auto"/>
                                            <w:right w:val="none" w:sz="0" w:space="0" w:color="auto"/>
                                          </w:divBdr>
                                          <w:divsChild>
                                            <w:div w:id="1812867959">
                                              <w:marLeft w:val="0"/>
                                              <w:marRight w:val="0"/>
                                              <w:marTop w:val="0"/>
                                              <w:marBottom w:val="0"/>
                                              <w:divBdr>
                                                <w:top w:val="none" w:sz="0" w:space="0" w:color="auto"/>
                                                <w:left w:val="none" w:sz="0" w:space="0" w:color="auto"/>
                                                <w:bottom w:val="none" w:sz="0" w:space="0" w:color="auto"/>
                                                <w:right w:val="none" w:sz="0" w:space="0" w:color="auto"/>
                                              </w:divBdr>
                                              <w:divsChild>
                                                <w:div w:id="1163475131">
                                                  <w:marLeft w:val="0"/>
                                                  <w:marRight w:val="0"/>
                                                  <w:marTop w:val="0"/>
                                                  <w:marBottom w:val="0"/>
                                                  <w:divBdr>
                                                    <w:top w:val="none" w:sz="0" w:space="0" w:color="auto"/>
                                                    <w:left w:val="none" w:sz="0" w:space="0" w:color="auto"/>
                                                    <w:bottom w:val="none" w:sz="0" w:space="0" w:color="auto"/>
                                                    <w:right w:val="none" w:sz="0" w:space="0" w:color="auto"/>
                                                  </w:divBdr>
                                                  <w:divsChild>
                                                    <w:div w:id="872956601">
                                                      <w:marLeft w:val="0"/>
                                                      <w:marRight w:val="0"/>
                                                      <w:marTop w:val="150"/>
                                                      <w:marBottom w:val="150"/>
                                                      <w:divBdr>
                                                        <w:top w:val="single" w:sz="6" w:space="8" w:color="0B3160"/>
                                                        <w:left w:val="none" w:sz="0" w:space="0" w:color="auto"/>
                                                        <w:bottom w:val="none" w:sz="0" w:space="0" w:color="auto"/>
                                                        <w:right w:val="none" w:sz="0" w:space="0" w:color="auto"/>
                                                      </w:divBdr>
                                                      <w:divsChild>
                                                        <w:div w:id="119315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9655384">
      <w:bodyDiv w:val="1"/>
      <w:marLeft w:val="0"/>
      <w:marRight w:val="0"/>
      <w:marTop w:val="0"/>
      <w:marBottom w:val="0"/>
      <w:divBdr>
        <w:top w:val="none" w:sz="0" w:space="0" w:color="auto"/>
        <w:left w:val="none" w:sz="0" w:space="0" w:color="auto"/>
        <w:bottom w:val="none" w:sz="0" w:space="0" w:color="auto"/>
        <w:right w:val="none" w:sz="0" w:space="0" w:color="auto"/>
      </w:divBdr>
    </w:div>
    <w:div w:id="1642806809">
      <w:bodyDiv w:val="1"/>
      <w:marLeft w:val="0"/>
      <w:marRight w:val="0"/>
      <w:marTop w:val="0"/>
      <w:marBottom w:val="0"/>
      <w:divBdr>
        <w:top w:val="none" w:sz="0" w:space="0" w:color="auto"/>
        <w:left w:val="none" w:sz="0" w:space="0" w:color="auto"/>
        <w:bottom w:val="none" w:sz="0" w:space="0" w:color="auto"/>
        <w:right w:val="none" w:sz="0" w:space="0" w:color="auto"/>
      </w:divBdr>
    </w:div>
    <w:div w:id="1707831721">
      <w:bodyDiv w:val="1"/>
      <w:marLeft w:val="0"/>
      <w:marRight w:val="0"/>
      <w:marTop w:val="0"/>
      <w:marBottom w:val="0"/>
      <w:divBdr>
        <w:top w:val="none" w:sz="0" w:space="0" w:color="auto"/>
        <w:left w:val="none" w:sz="0" w:space="0" w:color="auto"/>
        <w:bottom w:val="none" w:sz="0" w:space="0" w:color="auto"/>
        <w:right w:val="none" w:sz="0" w:space="0" w:color="auto"/>
      </w:divBdr>
    </w:div>
    <w:div w:id="1728263558">
      <w:bodyDiv w:val="1"/>
      <w:marLeft w:val="0"/>
      <w:marRight w:val="0"/>
      <w:marTop w:val="0"/>
      <w:marBottom w:val="0"/>
      <w:divBdr>
        <w:top w:val="none" w:sz="0" w:space="0" w:color="auto"/>
        <w:left w:val="none" w:sz="0" w:space="0" w:color="auto"/>
        <w:bottom w:val="none" w:sz="0" w:space="0" w:color="auto"/>
        <w:right w:val="none" w:sz="0" w:space="0" w:color="auto"/>
      </w:divBdr>
    </w:div>
    <w:div w:id="1739475047">
      <w:bodyDiv w:val="1"/>
      <w:marLeft w:val="0"/>
      <w:marRight w:val="0"/>
      <w:marTop w:val="0"/>
      <w:marBottom w:val="0"/>
      <w:divBdr>
        <w:top w:val="none" w:sz="0" w:space="0" w:color="auto"/>
        <w:left w:val="none" w:sz="0" w:space="0" w:color="auto"/>
        <w:bottom w:val="none" w:sz="0" w:space="0" w:color="auto"/>
        <w:right w:val="none" w:sz="0" w:space="0" w:color="auto"/>
      </w:divBdr>
    </w:div>
    <w:div w:id="1817061519">
      <w:bodyDiv w:val="1"/>
      <w:marLeft w:val="0"/>
      <w:marRight w:val="0"/>
      <w:marTop w:val="0"/>
      <w:marBottom w:val="0"/>
      <w:divBdr>
        <w:top w:val="none" w:sz="0" w:space="0" w:color="auto"/>
        <w:left w:val="none" w:sz="0" w:space="0" w:color="auto"/>
        <w:bottom w:val="none" w:sz="0" w:space="0" w:color="auto"/>
        <w:right w:val="none" w:sz="0" w:space="0" w:color="auto"/>
      </w:divBdr>
    </w:div>
    <w:div w:id="1824657718">
      <w:bodyDiv w:val="1"/>
      <w:marLeft w:val="0"/>
      <w:marRight w:val="0"/>
      <w:marTop w:val="0"/>
      <w:marBottom w:val="0"/>
      <w:divBdr>
        <w:top w:val="none" w:sz="0" w:space="0" w:color="auto"/>
        <w:left w:val="none" w:sz="0" w:space="0" w:color="auto"/>
        <w:bottom w:val="none" w:sz="0" w:space="0" w:color="auto"/>
        <w:right w:val="none" w:sz="0" w:space="0" w:color="auto"/>
      </w:divBdr>
    </w:div>
    <w:div w:id="1893543166">
      <w:bodyDiv w:val="1"/>
      <w:marLeft w:val="0"/>
      <w:marRight w:val="0"/>
      <w:marTop w:val="0"/>
      <w:marBottom w:val="0"/>
      <w:divBdr>
        <w:top w:val="none" w:sz="0" w:space="0" w:color="auto"/>
        <w:left w:val="none" w:sz="0" w:space="0" w:color="auto"/>
        <w:bottom w:val="none" w:sz="0" w:space="0" w:color="auto"/>
        <w:right w:val="none" w:sz="0" w:space="0" w:color="auto"/>
      </w:divBdr>
    </w:div>
    <w:div w:id="1894005731">
      <w:bodyDiv w:val="1"/>
      <w:marLeft w:val="0"/>
      <w:marRight w:val="0"/>
      <w:marTop w:val="0"/>
      <w:marBottom w:val="0"/>
      <w:divBdr>
        <w:top w:val="none" w:sz="0" w:space="0" w:color="auto"/>
        <w:left w:val="none" w:sz="0" w:space="0" w:color="auto"/>
        <w:bottom w:val="none" w:sz="0" w:space="0" w:color="auto"/>
        <w:right w:val="none" w:sz="0" w:space="0" w:color="auto"/>
      </w:divBdr>
    </w:div>
    <w:div w:id="1895778760">
      <w:bodyDiv w:val="1"/>
      <w:marLeft w:val="0"/>
      <w:marRight w:val="0"/>
      <w:marTop w:val="0"/>
      <w:marBottom w:val="0"/>
      <w:divBdr>
        <w:top w:val="none" w:sz="0" w:space="0" w:color="auto"/>
        <w:left w:val="none" w:sz="0" w:space="0" w:color="auto"/>
        <w:bottom w:val="none" w:sz="0" w:space="0" w:color="auto"/>
        <w:right w:val="none" w:sz="0" w:space="0" w:color="auto"/>
      </w:divBdr>
    </w:div>
    <w:div w:id="2015496060">
      <w:bodyDiv w:val="1"/>
      <w:marLeft w:val="0"/>
      <w:marRight w:val="0"/>
      <w:marTop w:val="0"/>
      <w:marBottom w:val="0"/>
      <w:divBdr>
        <w:top w:val="none" w:sz="0" w:space="0" w:color="auto"/>
        <w:left w:val="none" w:sz="0" w:space="0" w:color="auto"/>
        <w:bottom w:val="none" w:sz="0" w:space="0" w:color="auto"/>
        <w:right w:val="none" w:sz="0" w:space="0" w:color="auto"/>
      </w:divBdr>
    </w:div>
    <w:div w:id="2066635264">
      <w:bodyDiv w:val="1"/>
      <w:marLeft w:val="0"/>
      <w:marRight w:val="0"/>
      <w:marTop w:val="0"/>
      <w:marBottom w:val="0"/>
      <w:divBdr>
        <w:top w:val="none" w:sz="0" w:space="0" w:color="auto"/>
        <w:left w:val="none" w:sz="0" w:space="0" w:color="auto"/>
        <w:bottom w:val="none" w:sz="0" w:space="0" w:color="auto"/>
        <w:right w:val="none" w:sz="0" w:space="0" w:color="auto"/>
      </w:divBdr>
    </w:div>
    <w:div w:id="2082676762">
      <w:bodyDiv w:val="1"/>
      <w:marLeft w:val="0"/>
      <w:marRight w:val="0"/>
      <w:marTop w:val="0"/>
      <w:marBottom w:val="0"/>
      <w:divBdr>
        <w:top w:val="none" w:sz="0" w:space="0" w:color="auto"/>
        <w:left w:val="none" w:sz="0" w:space="0" w:color="auto"/>
        <w:bottom w:val="none" w:sz="0" w:space="0" w:color="auto"/>
        <w:right w:val="none" w:sz="0" w:space="0" w:color="auto"/>
      </w:divBdr>
    </w:div>
    <w:div w:id="2092507257">
      <w:bodyDiv w:val="1"/>
      <w:marLeft w:val="0"/>
      <w:marRight w:val="0"/>
      <w:marTop w:val="0"/>
      <w:marBottom w:val="0"/>
      <w:divBdr>
        <w:top w:val="none" w:sz="0" w:space="0" w:color="auto"/>
        <w:left w:val="none" w:sz="0" w:space="0" w:color="auto"/>
        <w:bottom w:val="none" w:sz="0" w:space="0" w:color="auto"/>
        <w:right w:val="none" w:sz="0" w:space="0" w:color="auto"/>
      </w:divBdr>
    </w:div>
    <w:div w:id="2112892015">
      <w:bodyDiv w:val="1"/>
      <w:marLeft w:val="0"/>
      <w:marRight w:val="0"/>
      <w:marTop w:val="0"/>
      <w:marBottom w:val="0"/>
      <w:divBdr>
        <w:top w:val="none" w:sz="0" w:space="0" w:color="auto"/>
        <w:left w:val="none" w:sz="0" w:space="0" w:color="auto"/>
        <w:bottom w:val="none" w:sz="0" w:space="0" w:color="auto"/>
        <w:right w:val="none" w:sz="0" w:space="0" w:color="auto"/>
      </w:divBdr>
    </w:div>
    <w:div w:id="2131581869">
      <w:bodyDiv w:val="1"/>
      <w:marLeft w:val="0"/>
      <w:marRight w:val="0"/>
      <w:marTop w:val="0"/>
      <w:marBottom w:val="0"/>
      <w:divBdr>
        <w:top w:val="none" w:sz="0" w:space="0" w:color="auto"/>
        <w:left w:val="none" w:sz="0" w:space="0" w:color="auto"/>
        <w:bottom w:val="none" w:sz="0" w:space="0" w:color="auto"/>
        <w:right w:val="none" w:sz="0" w:space="0" w:color="auto"/>
      </w:divBdr>
    </w:div>
    <w:div w:id="213883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EF5F52-5DFA-4538-9D27-A3DAB56DE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1092</Words>
  <Characters>6225</Characters>
  <Application>Microsoft Office Word</Application>
  <DocSecurity>0</DocSecurity>
  <Lines>51</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Erasmus MC</Company>
  <LinksUpToDate>false</LinksUpToDate>
  <CharactersWithSpaces>7303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 Teirlinck</dc:creator>
  <cp:lastModifiedBy>C.H. Teirlinck</cp:lastModifiedBy>
  <cp:revision>5</cp:revision>
  <cp:lastPrinted>2017-11-10T14:46:00Z</cp:lastPrinted>
  <dcterms:created xsi:type="dcterms:W3CDTF">2018-10-08T12:39:00Z</dcterms:created>
  <dcterms:modified xsi:type="dcterms:W3CDTF">2019-04-04T09:00:00Z</dcterms:modified>
</cp:coreProperties>
</file>