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D042E" w:rsidRDefault="00FD042E" w:rsidP="00BE5B17">
      <w:pPr>
        <w:ind w:left="0" w:firstLine="0"/>
      </w:pPr>
    </w:p>
    <w:p w:rsidR="002C4B0A" w:rsidRPr="002C4B0A" w:rsidRDefault="00710BE5" w:rsidP="00710BE5">
      <w:pPr>
        <w:ind w:left="0" w:firstLine="0"/>
        <w:rPr>
          <w:b/>
          <w:sz w:val="24"/>
          <w:szCs w:val="24"/>
          <w:lang w:val="en-CA"/>
        </w:rPr>
      </w:pPr>
      <w:r w:rsidRPr="002C4B0A">
        <w:rPr>
          <w:b/>
          <w:sz w:val="24"/>
          <w:szCs w:val="24"/>
          <w:lang w:val="en-CA"/>
        </w:rPr>
        <w:t>Supplementary Table S2</w:t>
      </w:r>
      <w:r w:rsidR="002C4B0A" w:rsidRPr="002C4B0A">
        <w:rPr>
          <w:b/>
          <w:sz w:val="24"/>
          <w:szCs w:val="24"/>
          <w:lang w:val="en-CA"/>
        </w:rPr>
        <w:t xml:space="preserve"> </w:t>
      </w:r>
    </w:p>
    <w:p w:rsidR="00710BE5" w:rsidRPr="002C4B0A" w:rsidRDefault="00710BE5" w:rsidP="00710BE5">
      <w:pPr>
        <w:ind w:left="0" w:firstLine="0"/>
        <w:rPr>
          <w:b/>
          <w:sz w:val="24"/>
          <w:szCs w:val="24"/>
          <w:lang w:val="en-CA"/>
        </w:rPr>
      </w:pPr>
      <w:r w:rsidRPr="002C4B0A">
        <w:rPr>
          <w:b/>
          <w:sz w:val="24"/>
          <w:szCs w:val="24"/>
          <w:lang w:val="en-CA"/>
        </w:rPr>
        <w:t>Identifying therapeutic subgroups within the STATIN-PHESEMO study</w:t>
      </w:r>
    </w:p>
    <w:p w:rsidR="00710BE5" w:rsidRDefault="00710BE5" w:rsidP="00BE5B17">
      <w:pPr>
        <w:ind w:left="0" w:firstLine="0"/>
        <w:rPr>
          <w:lang w:val="en-CA"/>
        </w:rPr>
      </w:pPr>
    </w:p>
    <w:p w:rsidR="009D6901" w:rsidRDefault="00710BE5" w:rsidP="009D6901">
      <w:pPr>
        <w:ind w:left="0" w:firstLine="0"/>
        <w:jc w:val="left"/>
        <w:rPr>
          <w:sz w:val="22"/>
          <w:szCs w:val="22"/>
          <w:lang w:val="en-CA"/>
        </w:rPr>
      </w:pPr>
      <w:r w:rsidRPr="00710BE5">
        <w:rPr>
          <w:sz w:val="22"/>
          <w:szCs w:val="22"/>
          <w:lang w:val="en-CA"/>
        </w:rPr>
        <w:t>When defined by the initial induction strategy, the STATIN-PHESEMO study included</w:t>
      </w:r>
      <w:r>
        <w:rPr>
          <w:sz w:val="22"/>
          <w:szCs w:val="22"/>
          <w:lang w:val="en-CA"/>
        </w:rPr>
        <w:t xml:space="preserve">: </w:t>
      </w:r>
      <w:r w:rsidRPr="00710BE5">
        <w:rPr>
          <w:sz w:val="22"/>
          <w:szCs w:val="22"/>
          <w:lang w:val="en-CA"/>
        </w:rPr>
        <w:t xml:space="preserve"> </w:t>
      </w:r>
    </w:p>
    <w:p w:rsidR="00710BE5" w:rsidRPr="00710BE5" w:rsidRDefault="00710BE5" w:rsidP="009D6901">
      <w:pPr>
        <w:ind w:left="0" w:firstLine="0"/>
        <w:jc w:val="left"/>
        <w:rPr>
          <w:sz w:val="22"/>
          <w:szCs w:val="22"/>
          <w:lang w:val="en-CA"/>
        </w:rPr>
      </w:pPr>
      <w:r w:rsidRPr="00710BE5">
        <w:rPr>
          <w:sz w:val="22"/>
          <w:szCs w:val="22"/>
          <w:lang w:val="en-CA"/>
        </w:rPr>
        <w:t xml:space="preserve">1) a </w:t>
      </w:r>
      <w:r w:rsidRPr="00710BE5">
        <w:rPr>
          <w:b/>
          <w:sz w:val="22"/>
          <w:szCs w:val="22"/>
          <w:lang w:val="en-CA"/>
        </w:rPr>
        <w:t>corticosteroid-free induction cohort</w:t>
      </w:r>
      <w:r w:rsidRPr="00710BE5">
        <w:rPr>
          <w:sz w:val="22"/>
          <w:szCs w:val="22"/>
          <w:lang w:val="en-CA"/>
        </w:rPr>
        <w:t xml:space="preserve"> and 2) a </w:t>
      </w:r>
      <w:r w:rsidRPr="00710BE5">
        <w:rPr>
          <w:b/>
          <w:sz w:val="22"/>
          <w:szCs w:val="22"/>
          <w:lang w:val="en-CA"/>
        </w:rPr>
        <w:t>corticosteroid-based induction cohort:</w:t>
      </w:r>
    </w:p>
    <w:p w:rsidR="00710BE5" w:rsidRPr="00710BE5" w:rsidRDefault="00710BE5" w:rsidP="00710BE5">
      <w:pPr>
        <w:ind w:left="0" w:firstLine="0"/>
        <w:rPr>
          <w:sz w:val="22"/>
          <w:szCs w:val="22"/>
          <w:lang w:val="en-CA"/>
        </w:rPr>
      </w:pPr>
    </w:p>
    <w:p w:rsidR="00710BE5" w:rsidRDefault="00710BE5" w:rsidP="00710BE5">
      <w:pPr>
        <w:numPr>
          <w:ilvl w:val="0"/>
          <w:numId w:val="1"/>
        </w:numPr>
        <w:rPr>
          <w:sz w:val="22"/>
          <w:szCs w:val="22"/>
          <w:lang w:val="en-CA"/>
        </w:rPr>
      </w:pPr>
      <w:r w:rsidRPr="00710BE5">
        <w:rPr>
          <w:sz w:val="22"/>
          <w:szCs w:val="22"/>
          <w:lang w:val="en-CA"/>
        </w:rPr>
        <w:t xml:space="preserve">in the </w:t>
      </w:r>
      <w:r w:rsidRPr="00710BE5">
        <w:rPr>
          <w:b/>
          <w:sz w:val="22"/>
          <w:szCs w:val="22"/>
          <w:lang w:val="en-CA"/>
        </w:rPr>
        <w:t>corticosteroid-free induction cohort</w:t>
      </w:r>
      <w:r w:rsidRPr="00710BE5">
        <w:rPr>
          <w:sz w:val="22"/>
          <w:szCs w:val="22"/>
          <w:lang w:val="en-CA"/>
        </w:rPr>
        <w:t>, two subgroups were seen, as SSI combinations were not used as the initial induction strategy but as a step-up induction strategy:</w:t>
      </w:r>
    </w:p>
    <w:p w:rsidR="00710BE5" w:rsidRPr="00710BE5" w:rsidRDefault="00710BE5" w:rsidP="00710BE5">
      <w:pPr>
        <w:ind w:left="1416" w:firstLine="0"/>
        <w:rPr>
          <w:sz w:val="22"/>
          <w:szCs w:val="22"/>
          <w:lang w:val="en-CA"/>
        </w:rPr>
      </w:pPr>
    </w:p>
    <w:p w:rsidR="00710BE5" w:rsidRPr="00710BE5" w:rsidRDefault="00710BE5" w:rsidP="00710BE5">
      <w:pPr>
        <w:numPr>
          <w:ilvl w:val="0"/>
          <w:numId w:val="4"/>
        </w:numPr>
        <w:rPr>
          <w:sz w:val="22"/>
          <w:szCs w:val="22"/>
          <w:lang w:val="en-CA"/>
        </w:rPr>
      </w:pPr>
      <w:r w:rsidRPr="00710BE5">
        <w:rPr>
          <w:sz w:val="22"/>
          <w:szCs w:val="22"/>
          <w:lang w:val="en-CA"/>
        </w:rPr>
        <w:t xml:space="preserve">the </w:t>
      </w:r>
      <w:r w:rsidRPr="00710BE5">
        <w:rPr>
          <w:b/>
          <w:sz w:val="22"/>
          <w:szCs w:val="22"/>
          <w:lang w:val="en-CA"/>
        </w:rPr>
        <w:t>Solo SSI induction cohort</w:t>
      </w:r>
      <w:r w:rsidRPr="00710BE5">
        <w:rPr>
          <w:sz w:val="22"/>
          <w:szCs w:val="22"/>
          <w:lang w:val="en-CA"/>
        </w:rPr>
        <w:t>, i.e. patients initially treated with an SSI alone;</w:t>
      </w:r>
    </w:p>
    <w:p w:rsidR="00710BE5" w:rsidRPr="00710BE5" w:rsidRDefault="00710BE5" w:rsidP="00710BE5">
      <w:pPr>
        <w:numPr>
          <w:ilvl w:val="0"/>
          <w:numId w:val="4"/>
        </w:numPr>
        <w:rPr>
          <w:sz w:val="22"/>
          <w:szCs w:val="22"/>
          <w:lang w:val="en-CA"/>
        </w:rPr>
      </w:pPr>
      <w:r w:rsidRPr="00710BE5">
        <w:rPr>
          <w:sz w:val="22"/>
          <w:szCs w:val="22"/>
          <w:lang w:val="en-CA"/>
        </w:rPr>
        <w:t xml:space="preserve">the </w:t>
      </w:r>
      <w:r w:rsidRPr="00710BE5">
        <w:rPr>
          <w:b/>
          <w:sz w:val="22"/>
          <w:szCs w:val="22"/>
          <w:lang w:val="en-CA"/>
        </w:rPr>
        <w:t>Dual IVIG/SSI induction cohort</w:t>
      </w:r>
      <w:r w:rsidRPr="00710BE5">
        <w:rPr>
          <w:sz w:val="22"/>
          <w:szCs w:val="22"/>
          <w:lang w:val="en-CA"/>
        </w:rPr>
        <w:t>, i.e. patients initially treated with IVIG and an SSI; patients failing a solo SSI induction strategy who received a step-up induction IVIG are included in this cohort;</w:t>
      </w:r>
    </w:p>
    <w:p w:rsidR="00710BE5" w:rsidRPr="00710BE5" w:rsidRDefault="00710BE5" w:rsidP="00710BE5">
      <w:pPr>
        <w:ind w:left="0" w:firstLine="0"/>
        <w:rPr>
          <w:sz w:val="22"/>
          <w:szCs w:val="22"/>
          <w:lang w:val="en-CA"/>
        </w:rPr>
      </w:pPr>
    </w:p>
    <w:p w:rsidR="00710BE5" w:rsidRDefault="00710BE5" w:rsidP="00710BE5">
      <w:pPr>
        <w:numPr>
          <w:ilvl w:val="0"/>
          <w:numId w:val="1"/>
        </w:numPr>
        <w:rPr>
          <w:sz w:val="22"/>
          <w:szCs w:val="22"/>
          <w:lang w:val="en-CA"/>
        </w:rPr>
      </w:pPr>
      <w:r w:rsidRPr="00710BE5">
        <w:rPr>
          <w:sz w:val="22"/>
          <w:szCs w:val="22"/>
          <w:lang w:val="en-CA"/>
        </w:rPr>
        <w:t xml:space="preserve">in the </w:t>
      </w:r>
      <w:r w:rsidRPr="00710BE5">
        <w:rPr>
          <w:b/>
          <w:sz w:val="22"/>
          <w:szCs w:val="22"/>
          <w:lang w:val="en-CA"/>
        </w:rPr>
        <w:t>corticosteroid-based induction cohort</w:t>
      </w:r>
      <w:r w:rsidRPr="00710BE5">
        <w:rPr>
          <w:sz w:val="22"/>
          <w:szCs w:val="22"/>
          <w:lang w:val="en-CA"/>
        </w:rPr>
        <w:t>, two subgroups were seen, as SSI combinations were not used as the initial induction strategy, but as a step-up induction strategy:</w:t>
      </w:r>
    </w:p>
    <w:p w:rsidR="00710BE5" w:rsidRPr="00710BE5" w:rsidRDefault="00710BE5" w:rsidP="00710BE5">
      <w:pPr>
        <w:ind w:left="720" w:firstLine="0"/>
        <w:rPr>
          <w:sz w:val="22"/>
          <w:szCs w:val="22"/>
          <w:lang w:val="en-CA"/>
        </w:rPr>
      </w:pPr>
    </w:p>
    <w:p w:rsidR="00710BE5" w:rsidRPr="00710BE5" w:rsidRDefault="00710BE5" w:rsidP="00710BE5">
      <w:pPr>
        <w:numPr>
          <w:ilvl w:val="0"/>
          <w:numId w:val="3"/>
        </w:numPr>
        <w:rPr>
          <w:sz w:val="22"/>
          <w:szCs w:val="22"/>
          <w:lang w:val="en-CA"/>
        </w:rPr>
      </w:pPr>
      <w:r w:rsidRPr="00710BE5">
        <w:rPr>
          <w:b/>
          <w:sz w:val="22"/>
          <w:szCs w:val="22"/>
          <w:lang w:val="en-CA"/>
        </w:rPr>
        <w:t>Dual steroid/SSI cohort</w:t>
      </w:r>
      <w:r w:rsidRPr="00710BE5">
        <w:rPr>
          <w:sz w:val="22"/>
          <w:szCs w:val="22"/>
          <w:lang w:val="en-CA"/>
        </w:rPr>
        <w:t>, i.e. patients initially treated with steroids and an SSI;</w:t>
      </w:r>
    </w:p>
    <w:p w:rsidR="00710BE5" w:rsidRPr="00710BE5" w:rsidRDefault="00710BE5" w:rsidP="00710BE5">
      <w:pPr>
        <w:numPr>
          <w:ilvl w:val="0"/>
          <w:numId w:val="3"/>
        </w:numPr>
        <w:rPr>
          <w:sz w:val="22"/>
          <w:szCs w:val="22"/>
          <w:lang w:val="en-CA"/>
        </w:rPr>
      </w:pPr>
      <w:r w:rsidRPr="00710BE5">
        <w:rPr>
          <w:b/>
          <w:sz w:val="22"/>
          <w:szCs w:val="22"/>
          <w:lang w:val="en-CA"/>
        </w:rPr>
        <w:t>Triple steroid/IVIG/SSI cohort</w:t>
      </w:r>
      <w:r w:rsidRPr="00710BE5">
        <w:rPr>
          <w:sz w:val="22"/>
          <w:szCs w:val="22"/>
          <w:lang w:val="en-CA"/>
        </w:rPr>
        <w:t xml:space="preserve">, i.e. patients initially treated with steroids, IVIG and an SSI; patients failing a dual steroid/SSI induction strategy who received rescue IVIG are included in the Triple steroid/IVIG/SSI induction cohort. </w:t>
      </w:r>
    </w:p>
    <w:p w:rsidR="00710BE5" w:rsidRPr="00710BE5" w:rsidRDefault="00710BE5" w:rsidP="00710BE5">
      <w:pPr>
        <w:ind w:left="0" w:firstLine="0"/>
        <w:rPr>
          <w:sz w:val="22"/>
          <w:szCs w:val="22"/>
          <w:lang w:val="en-CA"/>
        </w:rPr>
      </w:pPr>
    </w:p>
    <w:p w:rsidR="00710BE5" w:rsidRDefault="00710BE5" w:rsidP="00710BE5">
      <w:pPr>
        <w:ind w:left="0" w:firstLine="0"/>
        <w:rPr>
          <w:sz w:val="22"/>
          <w:szCs w:val="22"/>
          <w:lang w:val="en-CA"/>
        </w:rPr>
      </w:pPr>
      <w:r w:rsidRPr="00710BE5">
        <w:rPr>
          <w:sz w:val="22"/>
          <w:szCs w:val="22"/>
          <w:lang w:val="en-CA"/>
        </w:rPr>
        <w:t>Last, when defined by the muscle strength at both presentation and treatment of anti-HMGCR myopathy, three mutually exclusive, strength-based, cohorts could be identified:</w:t>
      </w:r>
    </w:p>
    <w:p w:rsidR="00710BE5" w:rsidRPr="00710BE5" w:rsidRDefault="00710BE5" w:rsidP="00710BE5">
      <w:pPr>
        <w:ind w:left="0" w:firstLine="0"/>
        <w:rPr>
          <w:sz w:val="22"/>
          <w:szCs w:val="22"/>
          <w:lang w:val="en-CA"/>
        </w:rPr>
      </w:pPr>
    </w:p>
    <w:p w:rsidR="00710BE5" w:rsidRPr="00710BE5" w:rsidRDefault="00710BE5" w:rsidP="00710BE5">
      <w:pPr>
        <w:numPr>
          <w:ilvl w:val="0"/>
          <w:numId w:val="2"/>
        </w:numPr>
        <w:rPr>
          <w:sz w:val="22"/>
          <w:szCs w:val="22"/>
          <w:lang w:val="en-CA"/>
        </w:rPr>
      </w:pPr>
      <w:r w:rsidRPr="00710BE5">
        <w:rPr>
          <w:b/>
          <w:sz w:val="22"/>
          <w:szCs w:val="22"/>
          <w:lang w:val="en-CA"/>
        </w:rPr>
        <w:t>early treatment cohort</w:t>
      </w:r>
      <w:r w:rsidRPr="00710BE5">
        <w:rPr>
          <w:sz w:val="22"/>
          <w:szCs w:val="22"/>
          <w:lang w:val="en-CA"/>
        </w:rPr>
        <w:t xml:space="preserve">, i.e. patients treated when strength was still normal;  </w:t>
      </w:r>
    </w:p>
    <w:p w:rsidR="00710BE5" w:rsidRPr="00710BE5" w:rsidRDefault="00710BE5" w:rsidP="00710BE5">
      <w:pPr>
        <w:numPr>
          <w:ilvl w:val="0"/>
          <w:numId w:val="2"/>
        </w:numPr>
        <w:rPr>
          <w:sz w:val="22"/>
          <w:szCs w:val="22"/>
          <w:lang w:val="en-CA"/>
        </w:rPr>
      </w:pPr>
      <w:r w:rsidRPr="00710BE5">
        <w:rPr>
          <w:b/>
          <w:sz w:val="22"/>
          <w:szCs w:val="22"/>
          <w:lang w:val="en-CA"/>
        </w:rPr>
        <w:t>delayed treatment cohort</w:t>
      </w:r>
      <w:r w:rsidRPr="00710BE5">
        <w:rPr>
          <w:sz w:val="22"/>
          <w:szCs w:val="22"/>
          <w:lang w:val="en-CA"/>
        </w:rPr>
        <w:t>, i.e. patients presenting with normal strength but treated when proximal weakness ensued;</w:t>
      </w:r>
    </w:p>
    <w:p w:rsidR="00710BE5" w:rsidRPr="00710BE5" w:rsidRDefault="00710BE5" w:rsidP="00710BE5">
      <w:pPr>
        <w:numPr>
          <w:ilvl w:val="0"/>
          <w:numId w:val="2"/>
        </w:numPr>
        <w:rPr>
          <w:sz w:val="22"/>
          <w:szCs w:val="22"/>
          <w:lang w:val="en-CA"/>
        </w:rPr>
      </w:pPr>
      <w:r w:rsidRPr="00710BE5">
        <w:rPr>
          <w:b/>
          <w:sz w:val="22"/>
          <w:szCs w:val="22"/>
          <w:lang w:val="en-CA"/>
        </w:rPr>
        <w:t>immediate treatment cohort</w:t>
      </w:r>
      <w:r w:rsidRPr="00710BE5">
        <w:rPr>
          <w:sz w:val="22"/>
          <w:szCs w:val="22"/>
          <w:lang w:val="en-CA"/>
        </w:rPr>
        <w:t>, i.e. patients presenting with proximal weakness and treated.</w:t>
      </w:r>
    </w:p>
    <w:p w:rsidR="00710BE5" w:rsidRPr="00710BE5" w:rsidRDefault="00710BE5" w:rsidP="00BE5B17">
      <w:pPr>
        <w:ind w:left="0" w:firstLine="0"/>
        <w:rPr>
          <w:lang w:val="en-CA"/>
        </w:rPr>
      </w:pPr>
    </w:p>
    <w:sectPr w:rsidR="00710BE5" w:rsidRPr="00710BE5" w:rsidSect="00AD3009">
      <w:pgSz w:w="12240" w:h="15840" w:code="1"/>
      <w:pgMar w:top="170" w:right="1797" w:bottom="1440" w:left="1797" w:header="709" w:footer="709" w:gutter="0"/>
      <w:cols w:space="708"/>
      <w:titlePg/>
      <w:docGrid w:linePitch="381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7566126"/>
    <w:multiLevelType w:val="hybridMultilevel"/>
    <w:tmpl w:val="5464E7FE"/>
    <w:lvl w:ilvl="0" w:tplc="0C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>
    <w:nsid w:val="374C204E"/>
    <w:multiLevelType w:val="hybridMultilevel"/>
    <w:tmpl w:val="051C5032"/>
    <w:lvl w:ilvl="0" w:tplc="0C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2">
    <w:nsid w:val="4F83292D"/>
    <w:multiLevelType w:val="hybridMultilevel"/>
    <w:tmpl w:val="CA9EA980"/>
    <w:lvl w:ilvl="0" w:tplc="0C0C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C0C0019" w:tentative="1">
      <w:start w:val="1"/>
      <w:numFmt w:val="lowerLetter"/>
      <w:lvlText w:val="%2."/>
      <w:lvlJc w:val="left"/>
      <w:pPr>
        <w:ind w:left="1440" w:hanging="360"/>
      </w:pPr>
    </w:lvl>
    <w:lvl w:ilvl="2" w:tplc="0C0C001B" w:tentative="1">
      <w:start w:val="1"/>
      <w:numFmt w:val="lowerRoman"/>
      <w:lvlText w:val="%3."/>
      <w:lvlJc w:val="right"/>
      <w:pPr>
        <w:ind w:left="2160" w:hanging="180"/>
      </w:pPr>
    </w:lvl>
    <w:lvl w:ilvl="3" w:tplc="0C0C000F" w:tentative="1">
      <w:start w:val="1"/>
      <w:numFmt w:val="decimal"/>
      <w:lvlText w:val="%4."/>
      <w:lvlJc w:val="left"/>
      <w:pPr>
        <w:ind w:left="2880" w:hanging="360"/>
      </w:pPr>
    </w:lvl>
    <w:lvl w:ilvl="4" w:tplc="0C0C0019" w:tentative="1">
      <w:start w:val="1"/>
      <w:numFmt w:val="lowerLetter"/>
      <w:lvlText w:val="%5."/>
      <w:lvlJc w:val="left"/>
      <w:pPr>
        <w:ind w:left="3600" w:hanging="360"/>
      </w:pPr>
    </w:lvl>
    <w:lvl w:ilvl="5" w:tplc="0C0C001B" w:tentative="1">
      <w:start w:val="1"/>
      <w:numFmt w:val="lowerRoman"/>
      <w:lvlText w:val="%6."/>
      <w:lvlJc w:val="right"/>
      <w:pPr>
        <w:ind w:left="4320" w:hanging="180"/>
      </w:pPr>
    </w:lvl>
    <w:lvl w:ilvl="6" w:tplc="0C0C000F" w:tentative="1">
      <w:start w:val="1"/>
      <w:numFmt w:val="decimal"/>
      <w:lvlText w:val="%7."/>
      <w:lvlJc w:val="left"/>
      <w:pPr>
        <w:ind w:left="5040" w:hanging="360"/>
      </w:pPr>
    </w:lvl>
    <w:lvl w:ilvl="7" w:tplc="0C0C0019" w:tentative="1">
      <w:start w:val="1"/>
      <w:numFmt w:val="lowerLetter"/>
      <w:lvlText w:val="%8."/>
      <w:lvlJc w:val="left"/>
      <w:pPr>
        <w:ind w:left="5760" w:hanging="360"/>
      </w:pPr>
    </w:lvl>
    <w:lvl w:ilvl="8" w:tplc="0C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720E4AEB"/>
    <w:multiLevelType w:val="hybridMultilevel"/>
    <w:tmpl w:val="A2CE31F6"/>
    <w:lvl w:ilvl="0" w:tplc="0C0C0001">
      <w:start w:val="1"/>
      <w:numFmt w:val="bullet"/>
      <w:lvlText w:val=""/>
      <w:lvlJc w:val="left"/>
      <w:pPr>
        <w:ind w:left="1068" w:hanging="360"/>
      </w:pPr>
      <w:rPr>
        <w:rFonts w:ascii="Symbol" w:hAnsi="Symbol" w:hint="default"/>
      </w:rPr>
    </w:lvl>
    <w:lvl w:ilvl="1" w:tplc="0C0C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C0C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C0C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C0C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C0C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C0C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C0C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C0C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3"/>
  </w:num>
  <w:num w:numId="3">
    <w:abstractNumId w:val="1"/>
  </w:num>
  <w:num w:numId="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126"/>
  <w:defaultTabStop w:val="708"/>
  <w:hyphenationZone w:val="425"/>
  <w:drawingGridHorizontalSpacing w:val="140"/>
  <w:drawingGridVerticalSpacing w:val="381"/>
  <w:displayHorizontalDrawingGridEvery w:val="2"/>
  <w:characterSpacingControl w:val="doNotCompress"/>
  <w:compat/>
  <w:rsids>
    <w:rsidRoot w:val="00710BE5"/>
    <w:rsid w:val="00087690"/>
    <w:rsid w:val="000A0619"/>
    <w:rsid w:val="000A41F2"/>
    <w:rsid w:val="000C02E0"/>
    <w:rsid w:val="002962CB"/>
    <w:rsid w:val="002C4B0A"/>
    <w:rsid w:val="00301D51"/>
    <w:rsid w:val="003B05BB"/>
    <w:rsid w:val="004D1065"/>
    <w:rsid w:val="004D1A13"/>
    <w:rsid w:val="004F5085"/>
    <w:rsid w:val="005022CC"/>
    <w:rsid w:val="00551752"/>
    <w:rsid w:val="005617F1"/>
    <w:rsid w:val="00691F6A"/>
    <w:rsid w:val="006A4B6B"/>
    <w:rsid w:val="006C3188"/>
    <w:rsid w:val="00710BE5"/>
    <w:rsid w:val="00822061"/>
    <w:rsid w:val="008767EC"/>
    <w:rsid w:val="008E4C10"/>
    <w:rsid w:val="00937137"/>
    <w:rsid w:val="00957944"/>
    <w:rsid w:val="00986A7F"/>
    <w:rsid w:val="009D6901"/>
    <w:rsid w:val="00A36888"/>
    <w:rsid w:val="00A928F0"/>
    <w:rsid w:val="00AC720F"/>
    <w:rsid w:val="00AD3009"/>
    <w:rsid w:val="00B86746"/>
    <w:rsid w:val="00B879C7"/>
    <w:rsid w:val="00BA00D2"/>
    <w:rsid w:val="00BE5B17"/>
    <w:rsid w:val="00C93878"/>
    <w:rsid w:val="00C95BFD"/>
    <w:rsid w:val="00CA5227"/>
    <w:rsid w:val="00CB177C"/>
    <w:rsid w:val="00DD7E2E"/>
    <w:rsid w:val="00DF62C1"/>
    <w:rsid w:val="00E46E5C"/>
    <w:rsid w:val="00E568D0"/>
    <w:rsid w:val="00E81156"/>
    <w:rsid w:val="00F017F4"/>
    <w:rsid w:val="00F31E61"/>
    <w:rsid w:val="00F3592D"/>
    <w:rsid w:val="00F6675D"/>
    <w:rsid w:val="00FC6984"/>
    <w:rsid w:val="00FD042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eastAsiaTheme="minorHAnsi" w:hAnsi="Arial" w:cs="Arial"/>
        <w:sz w:val="28"/>
        <w:szCs w:val="28"/>
        <w:lang w:val="fr-CA" w:eastAsia="en-US" w:bidi="ar-SA"/>
      </w:rPr>
    </w:rPrDefault>
    <w:pPrDefault>
      <w:pPr>
        <w:ind w:left="714" w:hanging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17F1"/>
    <w:pPr>
      <w:contextualSpacing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260</Words>
  <Characters>1430</Characters>
  <Application>Microsoft Office Word</Application>
  <DocSecurity>0</DocSecurity>
  <Lines>11</Lines>
  <Paragraphs>3</Paragraphs>
  <ScaleCrop>false</ScaleCrop>
  <Company/>
  <LinksUpToDate>false</LinksUpToDate>
  <CharactersWithSpaces>1687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Jean-Luc Senécal</dc:creator>
  <cp:lastModifiedBy>Jean-Luc Senécal</cp:lastModifiedBy>
  <cp:revision>4</cp:revision>
  <dcterms:created xsi:type="dcterms:W3CDTF">2019-05-20T21:12:00Z</dcterms:created>
  <dcterms:modified xsi:type="dcterms:W3CDTF">2019-07-15T17:37:00Z</dcterms:modified>
</cp:coreProperties>
</file>