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5B0BD1" w14:textId="77777777" w:rsidR="00E26B05" w:rsidRDefault="009B02C9">
      <w:r w:rsidRPr="009B02C9">
        <w:rPr>
          <w:b/>
        </w:rPr>
        <w:t>Supplementary Methods</w:t>
      </w:r>
    </w:p>
    <w:p w14:paraId="25E111F7" w14:textId="77777777" w:rsidR="00907929" w:rsidRDefault="00907929"/>
    <w:p w14:paraId="467AFDAF" w14:textId="77777777" w:rsidR="00907929" w:rsidRDefault="00907929"/>
    <w:p w14:paraId="7762EAF4" w14:textId="77777777" w:rsidR="00907929" w:rsidRDefault="00907929"/>
    <w:p w14:paraId="28DC7E50" w14:textId="77777777" w:rsidR="00907929" w:rsidRPr="00907929" w:rsidRDefault="00907929"/>
    <w:p w14:paraId="2DE69DA7" w14:textId="77777777" w:rsidR="009B02C9" w:rsidRDefault="00907929">
      <w:r>
        <w:rPr>
          <w:noProof/>
          <w:lang w:eastAsia="en-GB"/>
        </w:rPr>
        <w:drawing>
          <wp:inline distT="0" distB="0" distL="0" distR="0" wp14:anchorId="04BAD420" wp14:editId="0E687CF6">
            <wp:extent cx="5724525" cy="4943475"/>
            <wp:effectExtent l="0" t="0" r="9525" b="9525"/>
            <wp:docPr id="1" name="Picture 1" descr="C:\Users\sejjctd\AppData\Local\Microsoft\Windows\INetCache\Content.Word\flow diagr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ejjctd\AppData\Local\Microsoft\Windows\INetCache\Content.Word\flow diagram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95" b="336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494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3ADA4D" w14:textId="77777777" w:rsidR="00907929" w:rsidRDefault="00907929">
      <w:pPr>
        <w:rPr>
          <w:b/>
        </w:rPr>
      </w:pPr>
    </w:p>
    <w:p w14:paraId="03D56C28" w14:textId="77777777" w:rsidR="009B02C9" w:rsidRPr="00F23DA7" w:rsidRDefault="0020463D">
      <w:r>
        <w:rPr>
          <w:b/>
        </w:rPr>
        <w:t xml:space="preserve">Supplementary </w:t>
      </w:r>
      <w:r w:rsidR="009B02C9" w:rsidRPr="003C4FCB">
        <w:rPr>
          <w:b/>
        </w:rPr>
        <w:t xml:space="preserve">Figure S1. </w:t>
      </w:r>
      <w:r w:rsidR="009D747B">
        <w:t xml:space="preserve">Flow diagram to outline which patients were included or excluded in the study and which analyses they were included in. </w:t>
      </w:r>
    </w:p>
    <w:p w14:paraId="2DA2E625" w14:textId="77777777" w:rsidR="00B4118C" w:rsidRDefault="00B4118C"/>
    <w:p w14:paraId="5D63D8F8" w14:textId="77777777" w:rsidR="00907929" w:rsidRDefault="00907929">
      <w:pPr>
        <w:rPr>
          <w:b/>
        </w:rPr>
      </w:pPr>
      <w:r>
        <w:rPr>
          <w:b/>
        </w:rPr>
        <w:br w:type="page"/>
      </w:r>
    </w:p>
    <w:p w14:paraId="5A87943F" w14:textId="77777777" w:rsidR="00B4118C" w:rsidRPr="00B4118C" w:rsidRDefault="00B4118C">
      <w:pPr>
        <w:rPr>
          <w:b/>
        </w:rPr>
      </w:pPr>
      <w:r w:rsidRPr="00B4118C">
        <w:rPr>
          <w:b/>
        </w:rPr>
        <w:lastRenderedPageBreak/>
        <w:t>Supplementary Results</w:t>
      </w:r>
    </w:p>
    <w:p w14:paraId="1E4F177F" w14:textId="77777777" w:rsidR="004D05A1" w:rsidRDefault="004D05A1">
      <w:r>
        <w:t>Eight</w:t>
      </w:r>
      <w:r w:rsidR="00C54133">
        <w:t xml:space="preserve"> patients were identified who were treated with Etanercept and had complete data on the date of treatment start.</w:t>
      </w:r>
      <w:r w:rsidR="00E455F0">
        <w:t xml:space="preserve"> </w:t>
      </w:r>
      <w:r w:rsidR="00E455F0" w:rsidRPr="00E455F0">
        <w:t xml:space="preserve">Etanercept was used in patients with recalcitrant disease and non-responsive calcinosis. </w:t>
      </w:r>
      <w:r w:rsidR="00317C54">
        <w:t>Modest</w:t>
      </w:r>
      <w:r w:rsidR="0064374C">
        <w:t xml:space="preserve"> improvements </w:t>
      </w:r>
      <w:r w:rsidR="00257D46">
        <w:t xml:space="preserve">were observed in global disease, skin disease and muscle disease at approximately 12 months after Etanercept start. </w:t>
      </w:r>
      <w:r w:rsidR="00540D21">
        <w:t>PGA</w:t>
      </w:r>
      <w:r w:rsidR="00D87959">
        <w:t xml:space="preserve"> was 1.2 [0.4-2.3] at Etanercept start and reduced to 0.6 [0.1-1.3]. </w:t>
      </w:r>
      <w:r w:rsidR="0064374C">
        <w:t>Modified DAS</w:t>
      </w:r>
      <w:r w:rsidR="00257D46">
        <w:t xml:space="preserve"> reduced from 3 [2-4]</w:t>
      </w:r>
      <w:r w:rsidR="00D66EAE">
        <w:t xml:space="preserve"> to 1 [0.8-1.5], and CMAS reduced from 46 [45-48] to 51 [48-53]. </w:t>
      </w:r>
    </w:p>
    <w:p w14:paraId="5B45181C" w14:textId="4F4B383A" w:rsidR="00B4118C" w:rsidRDefault="004D05A1">
      <w:r>
        <w:t>Of these 8 patients, 3</w:t>
      </w:r>
      <w:r w:rsidR="00A069CB">
        <w:t xml:space="preserve"> subsequently </w:t>
      </w:r>
      <w:r>
        <w:t xml:space="preserve">received </w:t>
      </w:r>
      <w:r w:rsidR="00A069CB">
        <w:t xml:space="preserve">Infliximab. </w:t>
      </w:r>
      <w:r w:rsidR="00523480">
        <w:t>Complete data were available for skin disease activity only, with modified DAS scores of 5 [3-5] at Infliximab start and 1 [0.5-2] at 12 months after Infliximab start.</w:t>
      </w:r>
      <w:r w:rsidR="003A70AF">
        <w:t xml:space="preserve"> </w:t>
      </w:r>
      <w:r w:rsidR="005509BE">
        <w:t>One of these patients subsequently switche</w:t>
      </w:r>
      <w:bookmarkStart w:id="0" w:name="_GoBack"/>
      <w:bookmarkEnd w:id="0"/>
      <w:r w:rsidR="005509BE">
        <w:t xml:space="preserve">d to Adalimumab. </w:t>
      </w:r>
      <w:r w:rsidR="00523480">
        <w:t xml:space="preserve"> </w:t>
      </w:r>
    </w:p>
    <w:sectPr w:rsidR="00B4118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2AC"/>
    <w:rsid w:val="00167AC3"/>
    <w:rsid w:val="001B53F8"/>
    <w:rsid w:val="0020463D"/>
    <w:rsid w:val="00257D46"/>
    <w:rsid w:val="00317C54"/>
    <w:rsid w:val="003745D2"/>
    <w:rsid w:val="003A70AF"/>
    <w:rsid w:val="003C4FCB"/>
    <w:rsid w:val="004D05A1"/>
    <w:rsid w:val="00523480"/>
    <w:rsid w:val="00523669"/>
    <w:rsid w:val="00540D21"/>
    <w:rsid w:val="005509BE"/>
    <w:rsid w:val="00584A3A"/>
    <w:rsid w:val="00622804"/>
    <w:rsid w:val="0064374C"/>
    <w:rsid w:val="00686986"/>
    <w:rsid w:val="006932AC"/>
    <w:rsid w:val="006A745A"/>
    <w:rsid w:val="00765411"/>
    <w:rsid w:val="00907929"/>
    <w:rsid w:val="00912509"/>
    <w:rsid w:val="009B02C9"/>
    <w:rsid w:val="009D747B"/>
    <w:rsid w:val="009E70E2"/>
    <w:rsid w:val="00A024CE"/>
    <w:rsid w:val="00A069CB"/>
    <w:rsid w:val="00B4118C"/>
    <w:rsid w:val="00C27D90"/>
    <w:rsid w:val="00C54133"/>
    <w:rsid w:val="00D66EAE"/>
    <w:rsid w:val="00D87959"/>
    <w:rsid w:val="00E26B05"/>
    <w:rsid w:val="00E455F0"/>
    <w:rsid w:val="00F23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38FABC"/>
  <w15:chartTrackingRefBased/>
  <w15:docId w15:val="{7CAB06ED-8F03-42A2-AB6D-D5179D93D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1B53F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B53F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B53F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53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53F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53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53F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149</Words>
  <Characters>851</Characters>
  <Application>Microsoft Office Word</Application>
  <DocSecurity>0</DocSecurity>
  <Lines>7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University College London</Company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Deakin</dc:creator>
  <cp:keywords/>
  <dc:description/>
  <cp:lastModifiedBy>Claire Deakin</cp:lastModifiedBy>
  <cp:revision>3</cp:revision>
  <dcterms:created xsi:type="dcterms:W3CDTF">2020-02-03T10:51:00Z</dcterms:created>
  <dcterms:modified xsi:type="dcterms:W3CDTF">2020-02-03T10:51:00Z</dcterms:modified>
</cp:coreProperties>
</file>