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5F51" w:rsidRDefault="00242132" w:rsidP="0024213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AU"/>
        </w:rPr>
      </w:pPr>
      <w:r w:rsidRPr="00242132">
        <w:rPr>
          <w:rFonts w:ascii="Times New Roman" w:hAnsi="Times New Roman" w:cs="Times New Roman"/>
          <w:b/>
          <w:sz w:val="24"/>
          <w:szCs w:val="24"/>
          <w:lang w:val="en-AU"/>
        </w:rPr>
        <w:t>Supplementary materiel</w:t>
      </w:r>
      <w:r w:rsidR="002E6691">
        <w:rPr>
          <w:rFonts w:ascii="Times New Roman" w:hAnsi="Times New Roman" w:cs="Times New Roman"/>
          <w:b/>
          <w:sz w:val="24"/>
          <w:szCs w:val="24"/>
          <w:lang w:val="en-AU"/>
        </w:rPr>
        <w:t xml:space="preserve"> (figures)</w:t>
      </w:r>
    </w:p>
    <w:p w:rsidR="000418F6" w:rsidRPr="001128AB" w:rsidRDefault="000418F6" w:rsidP="001128AB">
      <w:pPr>
        <w:jc w:val="both"/>
        <w:rPr>
          <w:rFonts w:cstheme="minorHAnsi"/>
          <w:lang w:val="en-AU"/>
        </w:rPr>
      </w:pPr>
      <w:r w:rsidRPr="00F433B7">
        <w:rPr>
          <w:rFonts w:cstheme="minorHAnsi"/>
          <w:b/>
          <w:i/>
          <w:highlight w:val="yellow"/>
          <w:lang w:val="en-AU"/>
        </w:rPr>
        <w:t>Figure S1:</w:t>
      </w:r>
      <w:r w:rsidRPr="000418F6">
        <w:rPr>
          <w:rFonts w:eastAsia="Times New Roman" w:cstheme="minorHAnsi"/>
          <w:b/>
          <w:i/>
          <w:color w:val="000000"/>
          <w:lang w:val="en-AU" w:eastAsia="fr-CH"/>
        </w:rPr>
        <w:t xml:space="preserve"> </w:t>
      </w:r>
      <w:r w:rsidRPr="008C3654">
        <w:rPr>
          <w:rFonts w:eastAsia="Times New Roman" w:cstheme="minorHAnsi"/>
          <w:b/>
          <w:i/>
          <w:color w:val="000000"/>
          <w:lang w:val="en-AU" w:eastAsia="fr-CH"/>
        </w:rPr>
        <w:t>Receiver operating characteristic (ROC) curve</w:t>
      </w:r>
      <w:r w:rsidRPr="008C3654">
        <w:rPr>
          <w:rFonts w:cstheme="minorHAnsi"/>
          <w:b/>
          <w:i/>
          <w:lang w:val="en-GB"/>
        </w:rPr>
        <w:t xml:space="preserve"> of serum calprotectin as </w:t>
      </w:r>
      <w:r w:rsidR="00AC7178">
        <w:rPr>
          <w:rFonts w:cstheme="minorHAnsi"/>
          <w:b/>
          <w:i/>
          <w:lang w:val="en-GB"/>
        </w:rPr>
        <w:t xml:space="preserve">a </w:t>
      </w:r>
      <w:r>
        <w:rPr>
          <w:rFonts w:cstheme="minorHAnsi"/>
          <w:b/>
          <w:i/>
          <w:lang w:val="en-GB"/>
        </w:rPr>
        <w:t>disease activity</w:t>
      </w:r>
      <w:r w:rsidRPr="008C3654">
        <w:rPr>
          <w:rFonts w:cstheme="minorHAnsi"/>
          <w:b/>
          <w:i/>
          <w:lang w:val="en-GB"/>
        </w:rPr>
        <w:t xml:space="preserve"> marker</w:t>
      </w:r>
      <w:r>
        <w:rPr>
          <w:rFonts w:cstheme="minorHAnsi"/>
          <w:b/>
          <w:i/>
          <w:lang w:val="en-GB"/>
        </w:rPr>
        <w:t xml:space="preserve"> in early rheumatoid arthritis.</w:t>
      </w:r>
      <w:r w:rsidRPr="00062297">
        <w:rPr>
          <w:rFonts w:cstheme="minorHAnsi"/>
          <w:i/>
          <w:lang w:val="en-GB"/>
        </w:rPr>
        <w:t xml:space="preserve"> </w:t>
      </w:r>
      <w:r>
        <w:rPr>
          <w:rFonts w:cstheme="minorHAnsi"/>
          <w:i/>
          <w:lang w:val="en-GB"/>
        </w:rPr>
        <w:t>Moderate/high activity (n=58) versus low activity (n=53), according to DAS28 ESR</w:t>
      </w:r>
      <w:r w:rsidRPr="00062297">
        <w:rPr>
          <w:rFonts w:cstheme="minorHAnsi"/>
          <w:i/>
          <w:lang w:val="en-GB"/>
        </w:rPr>
        <w:t>. Thresholds of 3.5</w:t>
      </w:r>
      <w:r w:rsidRPr="00062297">
        <w:rPr>
          <w:lang w:val="en-US"/>
        </w:rPr>
        <w:t xml:space="preserve"> </w:t>
      </w:r>
      <w:r w:rsidRPr="00062297">
        <w:rPr>
          <w:rFonts w:cstheme="minorHAnsi"/>
          <w:i/>
          <w:lang w:val="en-GB"/>
        </w:rPr>
        <w:t xml:space="preserve">µg/ml and </w:t>
      </w:r>
      <w:r>
        <w:rPr>
          <w:rFonts w:cstheme="minorHAnsi"/>
          <w:i/>
          <w:lang w:val="en-GB"/>
        </w:rPr>
        <w:t>2</w:t>
      </w:r>
      <w:r w:rsidRPr="00062297">
        <w:rPr>
          <w:rFonts w:cstheme="minorHAnsi"/>
          <w:i/>
          <w:lang w:val="en-GB"/>
        </w:rPr>
        <w:t>.</w:t>
      </w:r>
      <w:r>
        <w:rPr>
          <w:rFonts w:cstheme="minorHAnsi"/>
          <w:i/>
          <w:lang w:val="en-GB"/>
        </w:rPr>
        <w:t>5</w:t>
      </w:r>
      <w:r w:rsidRPr="00062297">
        <w:rPr>
          <w:rFonts w:cstheme="minorHAnsi"/>
          <w:i/>
          <w:lang w:val="en-GB"/>
        </w:rPr>
        <w:t xml:space="preserve"> µg/ml (threshold with the highest sum sensitivity + specificity) </w:t>
      </w:r>
      <w:r>
        <w:rPr>
          <w:rFonts w:cstheme="minorHAnsi"/>
          <w:i/>
          <w:lang w:val="en-GB"/>
        </w:rPr>
        <w:t xml:space="preserve">and confidence interval for sensitivity </w:t>
      </w:r>
      <w:r w:rsidRPr="00062297">
        <w:rPr>
          <w:rFonts w:cstheme="minorHAnsi"/>
          <w:i/>
          <w:lang w:val="en-GB"/>
        </w:rPr>
        <w:t xml:space="preserve">are </w:t>
      </w:r>
      <w:bookmarkStart w:id="0" w:name="_GoBack"/>
      <w:bookmarkEnd w:id="0"/>
      <w:r w:rsidRPr="00062297">
        <w:rPr>
          <w:rFonts w:cstheme="minorHAnsi"/>
          <w:i/>
          <w:lang w:val="en-GB"/>
        </w:rPr>
        <w:t>plotted. Area under the curve: 0.7</w:t>
      </w:r>
      <w:r>
        <w:rPr>
          <w:rFonts w:cstheme="minorHAnsi"/>
          <w:i/>
          <w:lang w:val="en-GB"/>
        </w:rPr>
        <w:t>4</w:t>
      </w:r>
      <w:r w:rsidRPr="00062297">
        <w:rPr>
          <w:rFonts w:cstheme="minorHAnsi"/>
          <w:i/>
          <w:lang w:val="en-GB"/>
        </w:rPr>
        <w:t>.</w:t>
      </w:r>
      <w:r>
        <w:rPr>
          <w:rFonts w:cstheme="minorHAnsi"/>
          <w:i/>
          <w:lang w:val="en-GB"/>
        </w:rPr>
        <w:t xml:space="preserve"> </w:t>
      </w:r>
      <w:r w:rsidR="003169D8" w:rsidRPr="00242132">
        <w:rPr>
          <w:rFonts w:cstheme="minorHAnsi"/>
          <w:i/>
          <w:lang w:val="en-AU"/>
        </w:rPr>
        <w:t>Boxplot</w:t>
      </w:r>
      <w:r w:rsidR="003169D8">
        <w:rPr>
          <w:rFonts w:cstheme="minorHAnsi"/>
          <w:i/>
          <w:lang w:val="en-AU"/>
        </w:rPr>
        <w:t>s</w:t>
      </w:r>
      <w:r w:rsidR="003169D8" w:rsidRPr="00242132">
        <w:rPr>
          <w:rFonts w:cstheme="minorHAnsi"/>
          <w:i/>
          <w:lang w:val="en-AU"/>
        </w:rPr>
        <w:t xml:space="preserve"> of median </w:t>
      </w:r>
      <w:r w:rsidR="003169D8">
        <w:rPr>
          <w:rFonts w:cstheme="minorHAnsi"/>
          <w:i/>
          <w:lang w:val="en-AU"/>
        </w:rPr>
        <w:t xml:space="preserve">calprotectin </w:t>
      </w:r>
      <w:r w:rsidR="003169D8" w:rsidRPr="00242132">
        <w:rPr>
          <w:rFonts w:cstheme="minorHAnsi"/>
          <w:i/>
          <w:lang w:val="en-AU"/>
        </w:rPr>
        <w:t xml:space="preserve">levels (with interquartile range) </w:t>
      </w:r>
      <w:r w:rsidR="003169D8">
        <w:rPr>
          <w:rFonts w:cstheme="minorHAnsi"/>
          <w:i/>
          <w:lang w:val="en-AU"/>
        </w:rPr>
        <w:t>of the two groups are also shown</w:t>
      </w:r>
      <w:r w:rsidR="000242BA">
        <w:rPr>
          <w:rFonts w:cstheme="minorHAnsi"/>
          <w:i/>
          <w:lang w:val="en-AU"/>
        </w:rPr>
        <w:t xml:space="preserve"> (Wilcoxon </w:t>
      </w:r>
      <w:r w:rsidR="00864D71">
        <w:rPr>
          <w:rFonts w:cstheme="minorHAnsi"/>
          <w:i/>
          <w:lang w:val="en-AU"/>
        </w:rPr>
        <w:t>test</w:t>
      </w:r>
      <w:r w:rsidR="0043385D">
        <w:rPr>
          <w:rFonts w:cstheme="minorHAnsi"/>
          <w:i/>
          <w:lang w:val="en-AU"/>
        </w:rPr>
        <w:t xml:space="preserve"> was used to compare median levels</w:t>
      </w:r>
      <w:r w:rsidR="00D123F0">
        <w:rPr>
          <w:rFonts w:cstheme="minorHAnsi"/>
          <w:i/>
          <w:lang w:val="en-AU"/>
        </w:rPr>
        <w:t>)</w:t>
      </w:r>
      <w:r w:rsidR="003169D8">
        <w:rPr>
          <w:rFonts w:cstheme="minorHAnsi"/>
          <w:i/>
          <w:lang w:val="en-AU"/>
        </w:rPr>
        <w:t xml:space="preserve">. </w:t>
      </w:r>
      <w:r>
        <w:rPr>
          <w:rFonts w:cstheme="minorHAnsi"/>
          <w:i/>
          <w:lang w:val="en-GB"/>
        </w:rPr>
        <w:t xml:space="preserve">Abbreviations: Sn, sensitivity; </w:t>
      </w:r>
      <w:proofErr w:type="spellStart"/>
      <w:r>
        <w:rPr>
          <w:rFonts w:cstheme="minorHAnsi"/>
          <w:i/>
          <w:lang w:val="en-GB"/>
        </w:rPr>
        <w:t>Sp</w:t>
      </w:r>
      <w:proofErr w:type="spellEnd"/>
      <w:r>
        <w:rPr>
          <w:rFonts w:cstheme="minorHAnsi"/>
          <w:i/>
          <w:lang w:val="en-GB"/>
        </w:rPr>
        <w:t>, specificity</w:t>
      </w:r>
    </w:p>
    <w:p w:rsidR="000418F6" w:rsidRDefault="000418F6">
      <w:pPr>
        <w:rPr>
          <w:rFonts w:cstheme="minorHAnsi"/>
          <w:b/>
          <w:i/>
          <w:lang w:val="en-AU"/>
        </w:rPr>
      </w:pPr>
      <w:r w:rsidRPr="001907E8">
        <w:rPr>
          <w:rFonts w:ascii="Calibri" w:hAnsi="Calibri" w:cs="Calibri"/>
          <w:i/>
          <w:noProof/>
          <w:sz w:val="24"/>
          <w:szCs w:val="24"/>
          <w:lang w:val="en-US"/>
        </w:rPr>
        <w:drawing>
          <wp:inline distT="0" distB="0" distL="0" distR="0">
            <wp:extent cx="5797671" cy="2570400"/>
            <wp:effectExtent l="0" t="0" r="0" b="190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376" cy="2585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b/>
          <w:i/>
          <w:lang w:val="en-AU"/>
        </w:rPr>
        <w:br w:type="page"/>
      </w:r>
    </w:p>
    <w:p w:rsidR="00242132" w:rsidRDefault="00242132" w:rsidP="00242132">
      <w:pPr>
        <w:jc w:val="both"/>
        <w:rPr>
          <w:rFonts w:cstheme="minorHAnsi"/>
          <w:i/>
          <w:lang w:val="en-GB"/>
        </w:rPr>
      </w:pPr>
      <w:r>
        <w:rPr>
          <w:rFonts w:cstheme="minorHAnsi"/>
          <w:b/>
          <w:i/>
          <w:lang w:val="en-AU"/>
        </w:rPr>
        <w:lastRenderedPageBreak/>
        <w:t>F</w:t>
      </w:r>
      <w:r w:rsidRPr="005F0C28">
        <w:rPr>
          <w:rFonts w:cstheme="minorHAnsi"/>
          <w:b/>
          <w:i/>
          <w:lang w:val="en-AU"/>
        </w:rPr>
        <w:t xml:space="preserve">igure </w:t>
      </w:r>
      <w:r>
        <w:rPr>
          <w:rFonts w:cstheme="minorHAnsi"/>
          <w:b/>
          <w:i/>
          <w:lang w:val="en-AU"/>
        </w:rPr>
        <w:t>S</w:t>
      </w:r>
      <w:r w:rsidR="00160B05">
        <w:rPr>
          <w:rFonts w:cstheme="minorHAnsi"/>
          <w:b/>
          <w:i/>
          <w:lang w:val="en-AU"/>
        </w:rPr>
        <w:t>2</w:t>
      </w:r>
      <w:r w:rsidRPr="005F0C28">
        <w:rPr>
          <w:rFonts w:cstheme="minorHAnsi"/>
          <w:i/>
          <w:lang w:val="en-AU"/>
        </w:rPr>
        <w:t xml:space="preserve">: </w:t>
      </w:r>
      <w:r>
        <w:rPr>
          <w:rFonts w:cstheme="minorHAnsi"/>
          <w:b/>
          <w:bCs/>
          <w:i/>
          <w:lang w:val="en-AU"/>
        </w:rPr>
        <w:t>U</w:t>
      </w:r>
      <w:r w:rsidRPr="001C5789">
        <w:rPr>
          <w:rFonts w:cstheme="minorHAnsi"/>
          <w:b/>
          <w:bCs/>
          <w:i/>
          <w:lang w:val="en-AU"/>
        </w:rPr>
        <w:t>ltrasound score</w:t>
      </w:r>
      <w:r>
        <w:rPr>
          <w:rFonts w:cstheme="minorHAnsi"/>
          <w:b/>
          <w:bCs/>
          <w:i/>
          <w:lang w:val="en-AU"/>
        </w:rPr>
        <w:t xml:space="preserve"> in Rheumatoid Arthritis (RA): Calprotectin versus C-reactive protein (CRP)</w:t>
      </w:r>
      <w:r w:rsidRPr="001C5789">
        <w:rPr>
          <w:rFonts w:cstheme="minorHAnsi"/>
          <w:b/>
          <w:bCs/>
          <w:i/>
          <w:lang w:val="en-AU"/>
        </w:rPr>
        <w:t>.</w:t>
      </w:r>
      <w:r>
        <w:rPr>
          <w:rFonts w:cstheme="minorHAnsi"/>
          <w:i/>
          <w:lang w:val="en-AU"/>
        </w:rPr>
        <w:t xml:space="preserve"> </w:t>
      </w:r>
      <w:r w:rsidRPr="00CA59C1">
        <w:rPr>
          <w:rFonts w:cstheme="minorHAnsi"/>
          <w:i/>
          <w:lang w:val="en-AU"/>
        </w:rPr>
        <w:t>Receiver operating characteristic (</w:t>
      </w:r>
      <w:r w:rsidRPr="00CA59C1">
        <w:rPr>
          <w:rFonts w:eastAsia="Times New Roman" w:cstheme="minorHAnsi"/>
          <w:i/>
          <w:color w:val="000000"/>
          <w:lang w:val="en-AU" w:eastAsia="fr-CH"/>
        </w:rPr>
        <w:t>ROC) curve</w:t>
      </w:r>
      <w:r w:rsidRPr="00CA59C1">
        <w:rPr>
          <w:rFonts w:cstheme="minorHAnsi"/>
          <w:i/>
          <w:lang w:val="en-GB"/>
        </w:rPr>
        <w:t xml:space="preserve"> of the ability of serum calprotectin and </w:t>
      </w:r>
      <w:r>
        <w:rPr>
          <w:rFonts w:cstheme="minorHAnsi"/>
          <w:i/>
          <w:lang w:val="en-GB"/>
        </w:rPr>
        <w:t xml:space="preserve">CRP </w:t>
      </w:r>
      <w:r w:rsidRPr="00CA59C1">
        <w:rPr>
          <w:rFonts w:cstheme="minorHAnsi"/>
          <w:i/>
          <w:lang w:val="en-GB"/>
        </w:rPr>
        <w:t xml:space="preserve">to detect a positive </w:t>
      </w:r>
      <w:r w:rsidRPr="001C5789">
        <w:rPr>
          <w:rFonts w:cstheme="minorHAnsi"/>
          <w:i/>
          <w:iCs/>
          <w:lang w:val="en-AU"/>
        </w:rPr>
        <w:t>Swiss Sonography in Arthritis and Rheumatism (SONAR)</w:t>
      </w:r>
      <w:r w:rsidRPr="002D576B">
        <w:rPr>
          <w:rFonts w:cstheme="minorHAnsi"/>
          <w:lang w:val="en-AU"/>
        </w:rPr>
        <w:t xml:space="preserve"> </w:t>
      </w:r>
      <w:r w:rsidRPr="00CA59C1">
        <w:rPr>
          <w:rFonts w:cstheme="minorHAnsi"/>
          <w:i/>
          <w:lang w:val="en-GB"/>
        </w:rPr>
        <w:t xml:space="preserve">score in patients with </w:t>
      </w:r>
      <w:r>
        <w:rPr>
          <w:rFonts w:cstheme="minorHAnsi"/>
          <w:i/>
          <w:lang w:val="en-GB"/>
        </w:rPr>
        <w:t>RA</w:t>
      </w:r>
      <w:r w:rsidRPr="00CA59C1">
        <w:rPr>
          <w:rFonts w:cstheme="minorHAnsi"/>
          <w:i/>
          <w:lang w:val="en-GB"/>
        </w:rPr>
        <w:t>.</w:t>
      </w:r>
      <w:r w:rsidRPr="005F0C28">
        <w:rPr>
          <w:rFonts w:cstheme="minorHAnsi"/>
          <w:i/>
          <w:lang w:val="en-GB"/>
        </w:rPr>
        <w:t xml:space="preserve"> For calprotectin, thresholds of 1.5 µg/ml (mean serum calprotectin in HC), 3.5</w:t>
      </w:r>
      <w:r w:rsidRPr="005F0C28">
        <w:rPr>
          <w:i/>
          <w:lang w:val="en-US"/>
        </w:rPr>
        <w:t xml:space="preserve"> </w:t>
      </w:r>
      <w:r w:rsidRPr="005F0C28">
        <w:rPr>
          <w:rFonts w:cstheme="minorHAnsi"/>
          <w:i/>
          <w:lang w:val="en-GB"/>
        </w:rPr>
        <w:t>µg/ml and threshold with the highest sum sensitivity + specificity are plotted. For CRP, thresholds of 5.0</w:t>
      </w:r>
      <w:r w:rsidRPr="005F0C28">
        <w:rPr>
          <w:i/>
          <w:lang w:val="en-US"/>
        </w:rPr>
        <w:t xml:space="preserve"> </w:t>
      </w:r>
      <w:r w:rsidRPr="005F0C28">
        <w:rPr>
          <w:rFonts w:cstheme="minorHAnsi"/>
          <w:i/>
          <w:lang w:val="en-GB"/>
        </w:rPr>
        <w:t>mg/l (usual threshold) and threshold with the highest sum sensitivity + specificity are plotted.</w:t>
      </w:r>
      <w:r>
        <w:rPr>
          <w:rFonts w:cstheme="minorHAnsi"/>
          <w:i/>
          <w:lang w:val="en-GB"/>
        </w:rPr>
        <w:t xml:space="preserve"> Abbreviations: AUC, Area Under Curve, 95%CI, 95% Confidence Interval; Sn, Sensitivity; </w:t>
      </w:r>
      <w:proofErr w:type="spellStart"/>
      <w:r>
        <w:rPr>
          <w:rFonts w:cstheme="minorHAnsi"/>
          <w:i/>
          <w:lang w:val="en-GB"/>
        </w:rPr>
        <w:t>Sp</w:t>
      </w:r>
      <w:proofErr w:type="spellEnd"/>
      <w:r>
        <w:rPr>
          <w:rFonts w:cstheme="minorHAnsi"/>
          <w:i/>
          <w:lang w:val="en-GB"/>
        </w:rPr>
        <w:t>, Specificity.</w:t>
      </w:r>
    </w:p>
    <w:p w:rsidR="00242132" w:rsidRDefault="00242132" w:rsidP="00242132">
      <w:pPr>
        <w:jc w:val="both"/>
        <w:rPr>
          <w:rFonts w:cstheme="minorHAnsi"/>
          <w:i/>
          <w:lang w:val="en-GB"/>
        </w:rPr>
      </w:pPr>
      <w:r w:rsidRPr="005F0C28">
        <w:rPr>
          <w:rFonts w:cstheme="minorHAnsi"/>
          <w:b/>
          <w:i/>
          <w:lang w:val="en-GB"/>
        </w:rPr>
        <w:t>A:</w:t>
      </w:r>
      <w:r w:rsidRPr="005F0C28">
        <w:rPr>
          <w:rFonts w:cstheme="minorHAnsi"/>
          <w:i/>
          <w:lang w:val="en-GB"/>
        </w:rPr>
        <w:t xml:space="preserve">  ROC curves on the 209 patients who had an ultrasonography examination: 147 </w:t>
      </w:r>
      <w:r>
        <w:rPr>
          <w:rFonts w:cstheme="minorHAnsi"/>
          <w:i/>
          <w:lang w:val="en-GB"/>
        </w:rPr>
        <w:t xml:space="preserve">had a </w:t>
      </w:r>
      <w:r w:rsidRPr="005F0C28">
        <w:rPr>
          <w:rFonts w:cstheme="minorHAnsi"/>
          <w:i/>
          <w:lang w:val="en-GB"/>
        </w:rPr>
        <w:t>positive</w:t>
      </w:r>
      <w:r>
        <w:rPr>
          <w:rFonts w:cstheme="minorHAnsi"/>
          <w:i/>
          <w:lang w:val="en-GB"/>
        </w:rPr>
        <w:t xml:space="preserve"> SONAR score</w:t>
      </w:r>
      <w:r w:rsidRPr="005F0C28">
        <w:rPr>
          <w:rFonts w:cstheme="minorHAnsi"/>
          <w:i/>
          <w:lang w:val="en-GB"/>
        </w:rPr>
        <w:t xml:space="preserve">, </w:t>
      </w:r>
      <w:r>
        <w:rPr>
          <w:rFonts w:cstheme="minorHAnsi"/>
          <w:i/>
          <w:lang w:val="en-GB"/>
        </w:rPr>
        <w:t xml:space="preserve">and </w:t>
      </w:r>
      <w:r w:rsidRPr="005F0C28">
        <w:rPr>
          <w:rFonts w:cstheme="minorHAnsi"/>
          <w:i/>
          <w:lang w:val="en-GB"/>
        </w:rPr>
        <w:t xml:space="preserve">62 </w:t>
      </w:r>
      <w:r>
        <w:rPr>
          <w:rFonts w:cstheme="minorHAnsi"/>
          <w:i/>
          <w:lang w:val="en-GB"/>
        </w:rPr>
        <w:t xml:space="preserve">were </w:t>
      </w:r>
      <w:r w:rsidRPr="005F0C28">
        <w:rPr>
          <w:rFonts w:cstheme="minorHAnsi"/>
          <w:i/>
          <w:lang w:val="en-GB"/>
        </w:rPr>
        <w:t>negative</w:t>
      </w:r>
      <w:r>
        <w:rPr>
          <w:rFonts w:cstheme="minorHAnsi"/>
          <w:i/>
          <w:lang w:val="en-GB"/>
        </w:rPr>
        <w:t>.</w:t>
      </w:r>
      <w:r w:rsidRPr="005F0C28">
        <w:rPr>
          <w:rFonts w:cstheme="minorHAnsi"/>
          <w:i/>
          <w:lang w:val="en-GB"/>
        </w:rPr>
        <w:t xml:space="preserve"> </w:t>
      </w:r>
    </w:p>
    <w:p w:rsidR="00242132" w:rsidRDefault="00242132" w:rsidP="00242132">
      <w:pPr>
        <w:jc w:val="both"/>
        <w:rPr>
          <w:rFonts w:cstheme="minorHAnsi"/>
          <w:i/>
          <w:lang w:val="en-GB"/>
        </w:rPr>
      </w:pPr>
      <w:r w:rsidRPr="005F0C28">
        <w:rPr>
          <w:rFonts w:cstheme="minorHAnsi"/>
          <w:b/>
          <w:i/>
          <w:lang w:val="en-GB"/>
        </w:rPr>
        <w:t>B:</w:t>
      </w:r>
      <w:r>
        <w:rPr>
          <w:rFonts w:cstheme="minorHAnsi"/>
          <w:b/>
          <w:i/>
          <w:lang w:val="en-GB"/>
        </w:rPr>
        <w:t xml:space="preserve"> </w:t>
      </w:r>
      <w:r w:rsidRPr="005F0C28">
        <w:rPr>
          <w:rFonts w:cstheme="minorHAnsi"/>
          <w:i/>
          <w:lang w:val="en-GB"/>
        </w:rPr>
        <w:t>ROC curves on 82 patients with ultrasonography examination and a disease duration less than 5 years</w:t>
      </w:r>
      <w:r>
        <w:rPr>
          <w:rFonts w:cstheme="minorHAnsi"/>
          <w:i/>
          <w:lang w:val="en-GB"/>
        </w:rPr>
        <w:t>: 55 had a positive SONAR score, and 27 were negative</w:t>
      </w:r>
      <w:r w:rsidRPr="005F0C28">
        <w:rPr>
          <w:rFonts w:cstheme="minorHAnsi"/>
          <w:i/>
          <w:lang w:val="en-GB"/>
        </w:rPr>
        <w:t>.</w:t>
      </w:r>
      <w:r>
        <w:rPr>
          <w:rFonts w:cstheme="minorHAnsi"/>
          <w:i/>
          <w:lang w:val="en-GB"/>
        </w:rPr>
        <w:t xml:space="preserve"> </w:t>
      </w:r>
    </w:p>
    <w:p w:rsidR="00242132" w:rsidRPr="000817A7" w:rsidRDefault="00242132" w:rsidP="00242132">
      <w:pPr>
        <w:jc w:val="both"/>
        <w:rPr>
          <w:rFonts w:cstheme="minorHAnsi"/>
          <w:i/>
          <w:lang w:val="en-GB"/>
        </w:rPr>
      </w:pPr>
      <w:r w:rsidRPr="00594CF0">
        <w:rPr>
          <w:rFonts w:cstheme="minorHAnsi"/>
          <w:b/>
          <w:bCs/>
          <w:iCs/>
          <w:lang w:val="en-GB"/>
        </w:rPr>
        <w:t>C</w:t>
      </w:r>
      <w:r>
        <w:rPr>
          <w:rFonts w:cstheme="minorHAnsi"/>
          <w:b/>
          <w:bCs/>
          <w:iCs/>
          <w:lang w:val="en-GB"/>
        </w:rPr>
        <w:t xml:space="preserve">: </w:t>
      </w:r>
      <w:r>
        <w:rPr>
          <w:rFonts w:cstheme="minorHAnsi"/>
          <w:i/>
          <w:lang w:val="en-AU"/>
        </w:rPr>
        <w:t>Boxplot</w:t>
      </w:r>
      <w:r w:rsidR="0043385D">
        <w:rPr>
          <w:rFonts w:cstheme="minorHAnsi"/>
          <w:i/>
          <w:lang w:val="en-AU"/>
        </w:rPr>
        <w:t>s</w:t>
      </w:r>
      <w:r>
        <w:rPr>
          <w:rFonts w:cstheme="minorHAnsi"/>
          <w:i/>
          <w:lang w:val="en-AU"/>
        </w:rPr>
        <w:t xml:space="preserve"> of median levels (with interquartile range) of calprotectin and CRP </w:t>
      </w:r>
      <w:r>
        <w:rPr>
          <w:rFonts w:cstheme="minorHAnsi"/>
          <w:i/>
          <w:lang w:val="en-GB"/>
        </w:rPr>
        <w:t>in the 209 RA patients with SONAR negative score versus SONAR positive</w:t>
      </w:r>
      <w:r w:rsidRPr="00594CF0">
        <w:rPr>
          <w:rFonts w:cstheme="minorHAnsi"/>
          <w:b/>
          <w:bCs/>
          <w:iCs/>
          <w:lang w:val="en-GB"/>
        </w:rPr>
        <w:t xml:space="preserve"> </w:t>
      </w:r>
      <w:r w:rsidR="0043385D">
        <w:rPr>
          <w:rFonts w:cstheme="minorHAnsi"/>
          <w:i/>
          <w:lang w:val="en-AU"/>
        </w:rPr>
        <w:t>(Wilcoxon test was used to compare median levels)</w:t>
      </w:r>
      <w:r w:rsidR="0043385D">
        <w:rPr>
          <w:rFonts w:cstheme="minorHAnsi"/>
          <w:i/>
          <w:lang w:val="en-AU"/>
        </w:rPr>
        <w:t>.</w:t>
      </w:r>
    </w:p>
    <w:p w:rsidR="00242132" w:rsidRDefault="00242132" w:rsidP="00242132">
      <w:pPr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25237F">
        <w:rPr>
          <w:noProof/>
          <w:lang w:eastAsia="fr-CH"/>
        </w:rPr>
        <w:drawing>
          <wp:inline distT="0" distB="0" distL="0" distR="0" wp14:anchorId="625E5F91" wp14:editId="5985230D">
            <wp:extent cx="5918200" cy="2748111"/>
            <wp:effectExtent l="0" t="0" r="6350" b="0"/>
            <wp:docPr id="2" name="Image 2" descr="E:\R-Calpro21.04.19\AUC_SONAR_CLP_CRP_5y+Tot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R-Calpro21.04.19\AUC_SONAR_CLP_CRP_5y+Tot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66" r="9942"/>
                    <a:stretch/>
                  </pic:blipFill>
                  <pic:spPr bwMode="auto">
                    <a:xfrm>
                      <a:off x="0" y="0"/>
                      <a:ext cx="5963596" cy="2769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42132" w:rsidRDefault="00242132" w:rsidP="00242132">
      <w:pPr>
        <w:spacing w:after="0" w:line="360" w:lineRule="auto"/>
        <w:jc w:val="center"/>
        <w:rPr>
          <w:lang w:val="en-US"/>
        </w:rPr>
      </w:pPr>
      <w:r>
        <w:rPr>
          <w:noProof/>
          <w:lang w:eastAsia="fr-CH"/>
        </w:rPr>
        <w:drawing>
          <wp:inline distT="0" distB="0" distL="0" distR="0" wp14:anchorId="639EA0B5" wp14:editId="57882AAD">
            <wp:extent cx="5962650" cy="2329401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42"/>
                    <a:stretch/>
                  </pic:blipFill>
                  <pic:spPr bwMode="auto">
                    <a:xfrm>
                      <a:off x="0" y="0"/>
                      <a:ext cx="6018276" cy="2351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42132" w:rsidRDefault="00242132">
      <w:pPr>
        <w:rPr>
          <w:lang w:val="en-US"/>
        </w:rPr>
      </w:pPr>
      <w:r>
        <w:rPr>
          <w:lang w:val="en-US"/>
        </w:rPr>
        <w:br w:type="page"/>
      </w:r>
    </w:p>
    <w:p w:rsidR="00242132" w:rsidRPr="00242132" w:rsidRDefault="00242132" w:rsidP="002E6691">
      <w:pPr>
        <w:jc w:val="both"/>
        <w:rPr>
          <w:rFonts w:ascii="Times New Roman" w:hAnsi="Times New Roman" w:cs="Times New Roman"/>
          <w:b/>
          <w:sz w:val="24"/>
          <w:szCs w:val="24"/>
          <w:lang w:val="en-AU"/>
        </w:rPr>
      </w:pPr>
      <w:r w:rsidRPr="00242132">
        <w:rPr>
          <w:b/>
          <w:bCs/>
          <w:i/>
          <w:iCs/>
          <w:lang w:val="en-US"/>
        </w:rPr>
        <w:lastRenderedPageBreak/>
        <w:t>Figure S3:</w:t>
      </w:r>
      <w:r w:rsidRPr="00242132">
        <w:rPr>
          <w:lang w:val="en-US"/>
        </w:rPr>
        <w:t xml:space="preserve"> </w:t>
      </w:r>
      <w:r w:rsidRPr="00242132">
        <w:rPr>
          <w:b/>
          <w:bCs/>
          <w:i/>
          <w:iCs/>
          <w:lang w:val="en-US"/>
        </w:rPr>
        <w:t>Swollen Joint Count (SJC)</w:t>
      </w:r>
      <w:r w:rsidRPr="00242132">
        <w:rPr>
          <w:rFonts w:cstheme="minorHAnsi"/>
          <w:b/>
          <w:bCs/>
          <w:i/>
          <w:lang w:val="en-GB"/>
        </w:rPr>
        <w:t xml:space="preserve"> in rheumatoid arthritis patients treated with Tocilizumab: calprotectin versus C-reactive protein. </w:t>
      </w:r>
    </w:p>
    <w:p w:rsidR="00242132" w:rsidRPr="00242132" w:rsidRDefault="00242132" w:rsidP="00242132">
      <w:pPr>
        <w:spacing w:line="256" w:lineRule="auto"/>
        <w:jc w:val="both"/>
        <w:rPr>
          <w:lang w:val="en-US"/>
        </w:rPr>
      </w:pPr>
      <w:r w:rsidRPr="00242132">
        <w:rPr>
          <w:rFonts w:cstheme="minorHAnsi"/>
          <w:i/>
          <w:lang w:val="en-AU"/>
        </w:rPr>
        <w:t>Boxplot</w:t>
      </w:r>
      <w:r w:rsidR="0043385D">
        <w:rPr>
          <w:rFonts w:cstheme="minorHAnsi"/>
          <w:i/>
          <w:lang w:val="en-AU"/>
        </w:rPr>
        <w:t>s</w:t>
      </w:r>
      <w:r w:rsidRPr="00242132">
        <w:rPr>
          <w:rFonts w:cstheme="minorHAnsi"/>
          <w:i/>
          <w:lang w:val="en-AU"/>
        </w:rPr>
        <w:t xml:space="preserve"> of median levels (with interquartile range) of calprotectin (A) and </w:t>
      </w:r>
      <w:r w:rsidRPr="00242132">
        <w:rPr>
          <w:rFonts w:cstheme="minorHAnsi"/>
          <w:i/>
          <w:lang w:val="en-GB"/>
        </w:rPr>
        <w:t>C-Reactive Protein (CRP) (B) in 51 RA patients treated with tocilizumab without swollen joint versus one or more swollen joint</w:t>
      </w:r>
      <w:r w:rsidR="0043385D">
        <w:rPr>
          <w:rFonts w:cstheme="minorHAnsi"/>
          <w:i/>
          <w:lang w:val="en-GB"/>
        </w:rPr>
        <w:t xml:space="preserve">. </w:t>
      </w:r>
      <w:r w:rsidR="0043385D">
        <w:rPr>
          <w:rFonts w:cstheme="minorHAnsi"/>
          <w:i/>
          <w:lang w:val="en-AU"/>
        </w:rPr>
        <w:t>Wilcoxon test was used to compare median levels</w:t>
      </w:r>
      <w:r w:rsidRPr="00242132">
        <w:rPr>
          <w:rFonts w:cstheme="minorHAnsi"/>
          <w:i/>
          <w:lang w:val="en-GB"/>
        </w:rPr>
        <w:t>.</w:t>
      </w:r>
    </w:p>
    <w:p w:rsidR="00242132" w:rsidRPr="00242132" w:rsidRDefault="00242132" w:rsidP="00242132">
      <w:pPr>
        <w:spacing w:line="256" w:lineRule="auto"/>
        <w:jc w:val="center"/>
      </w:pPr>
      <w:r w:rsidRPr="00242132">
        <w:rPr>
          <w:noProof/>
          <w:lang w:eastAsia="fr-CH"/>
        </w:rPr>
        <w:drawing>
          <wp:inline distT="0" distB="0" distL="0" distR="0" wp14:anchorId="6BB508C1" wp14:editId="1B1DC927">
            <wp:extent cx="6083656" cy="2508250"/>
            <wp:effectExtent l="0" t="0" r="0" b="635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76" r="6746"/>
                    <a:stretch/>
                  </pic:blipFill>
                  <pic:spPr bwMode="auto">
                    <a:xfrm>
                      <a:off x="0" y="0"/>
                      <a:ext cx="6105328" cy="2517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6691" w:rsidRDefault="002E6691">
      <w:pPr>
        <w:rPr>
          <w:rFonts w:ascii="Times New Roman" w:hAnsi="Times New Roman" w:cs="Times New Roman"/>
          <w:b/>
          <w:sz w:val="24"/>
          <w:szCs w:val="24"/>
          <w:lang w:val="en-AU"/>
        </w:rPr>
      </w:pPr>
      <w:r>
        <w:rPr>
          <w:rFonts w:ascii="Times New Roman" w:hAnsi="Times New Roman" w:cs="Times New Roman"/>
          <w:b/>
          <w:sz w:val="24"/>
          <w:szCs w:val="24"/>
          <w:lang w:val="en-AU"/>
        </w:rPr>
        <w:br w:type="page"/>
      </w:r>
    </w:p>
    <w:p w:rsidR="002E6691" w:rsidRPr="002E6691" w:rsidRDefault="002E6691" w:rsidP="002E66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 w:rsidRPr="002E6691">
        <w:rPr>
          <w:rFonts w:cstheme="minorHAnsi"/>
          <w:b/>
          <w:i/>
          <w:lang w:val="en-AU"/>
        </w:rPr>
        <w:lastRenderedPageBreak/>
        <w:t>Figure S4:</w:t>
      </w:r>
      <w:r w:rsidRPr="002E6691">
        <w:rPr>
          <w:rFonts w:cstheme="minorHAnsi"/>
          <w:i/>
          <w:lang w:val="en-AU"/>
        </w:rPr>
        <w:t xml:space="preserve"> </w:t>
      </w:r>
      <w:r w:rsidRPr="002E6691">
        <w:rPr>
          <w:rFonts w:cstheme="minorHAnsi"/>
          <w:b/>
          <w:bCs/>
          <w:i/>
          <w:lang w:val="en-AU"/>
        </w:rPr>
        <w:t>Disease Activity Score in rheumatoid arthritis patients on tocilizumab: Calprotectin versus C-reactive protein (CRP)</w:t>
      </w:r>
    </w:p>
    <w:p w:rsidR="002E6691" w:rsidRPr="002E6691" w:rsidRDefault="002E6691" w:rsidP="002E6691">
      <w:pPr>
        <w:jc w:val="both"/>
        <w:rPr>
          <w:rFonts w:cstheme="minorHAnsi"/>
          <w:i/>
          <w:lang w:val="en-GB"/>
        </w:rPr>
      </w:pPr>
      <w:r w:rsidRPr="002E6691">
        <w:rPr>
          <w:rFonts w:cstheme="minorHAnsi"/>
          <w:b/>
          <w:bCs/>
          <w:i/>
          <w:lang w:val="en-AU"/>
        </w:rPr>
        <w:t>A.</w:t>
      </w:r>
      <w:r w:rsidRPr="002E6691">
        <w:rPr>
          <w:rFonts w:cstheme="minorHAnsi"/>
          <w:i/>
          <w:lang w:val="en-AU"/>
        </w:rPr>
        <w:t xml:space="preserve"> Boxplot</w:t>
      </w:r>
      <w:r w:rsidR="0043385D">
        <w:rPr>
          <w:rFonts w:cstheme="minorHAnsi"/>
          <w:i/>
          <w:lang w:val="en-AU"/>
        </w:rPr>
        <w:t>s</w:t>
      </w:r>
      <w:r w:rsidRPr="002E6691">
        <w:rPr>
          <w:rFonts w:cstheme="minorHAnsi"/>
          <w:i/>
          <w:lang w:val="en-AU"/>
        </w:rPr>
        <w:t xml:space="preserve"> of median levels (with interquartile range) of calprotectin and </w:t>
      </w:r>
      <w:r w:rsidRPr="002E6691">
        <w:rPr>
          <w:rFonts w:cstheme="minorHAnsi"/>
          <w:i/>
          <w:lang w:val="en-GB"/>
        </w:rPr>
        <w:t>CRP in RA patients treated with tocilizumab with low disease (DAS28-ESR &lt; 3.2) versus moderate to high disease activity (DAS28-ESR ≥ 3.2)</w:t>
      </w:r>
      <w:r w:rsidR="0043385D">
        <w:rPr>
          <w:rFonts w:cstheme="minorHAnsi"/>
          <w:i/>
          <w:lang w:val="en-GB"/>
        </w:rPr>
        <w:t xml:space="preserve">. </w:t>
      </w:r>
      <w:r w:rsidR="0043385D">
        <w:rPr>
          <w:rFonts w:cstheme="minorHAnsi"/>
          <w:i/>
          <w:lang w:val="en-AU"/>
        </w:rPr>
        <w:t>Wilcoxon test was used to compare median levels</w:t>
      </w:r>
      <w:r w:rsidRPr="002E6691">
        <w:rPr>
          <w:rFonts w:cstheme="minorHAnsi"/>
          <w:i/>
          <w:lang w:val="en-GB"/>
        </w:rPr>
        <w:t>.</w:t>
      </w:r>
    </w:p>
    <w:p w:rsidR="002E6691" w:rsidRPr="002E6691" w:rsidRDefault="002E6691" w:rsidP="002E6691">
      <w:pPr>
        <w:jc w:val="both"/>
        <w:rPr>
          <w:noProof/>
          <w:lang w:val="en-US"/>
        </w:rPr>
      </w:pPr>
      <w:r w:rsidRPr="002E6691">
        <w:rPr>
          <w:rFonts w:cstheme="minorHAnsi"/>
          <w:b/>
          <w:bCs/>
          <w:i/>
          <w:lang w:val="en-GB"/>
        </w:rPr>
        <w:t>B.</w:t>
      </w:r>
      <w:r w:rsidRPr="002E6691">
        <w:rPr>
          <w:rFonts w:cstheme="minorHAnsi"/>
          <w:i/>
          <w:lang w:val="en-GB"/>
        </w:rPr>
        <w:t xml:space="preserve"> </w:t>
      </w:r>
      <w:r w:rsidRPr="002E6691">
        <w:rPr>
          <w:rFonts w:cstheme="minorHAnsi"/>
          <w:i/>
          <w:lang w:val="en-AU"/>
        </w:rPr>
        <w:t>Receiver operating characteristic (</w:t>
      </w:r>
      <w:r w:rsidRPr="002E6691">
        <w:rPr>
          <w:rFonts w:eastAsia="Times New Roman" w:cstheme="minorHAnsi"/>
          <w:i/>
          <w:color w:val="000000"/>
          <w:lang w:val="en-AU" w:eastAsia="fr-CH"/>
        </w:rPr>
        <w:t>ROC) curve</w:t>
      </w:r>
      <w:r w:rsidRPr="002E6691">
        <w:rPr>
          <w:rFonts w:cstheme="minorHAnsi"/>
          <w:i/>
          <w:lang w:val="en-GB"/>
        </w:rPr>
        <w:t xml:space="preserve"> of the ability of serum calprotectin and CRP to detect a DAS28-ESR above 3.2 in the same population. For calprotectin, thresholds of 3.5</w:t>
      </w:r>
      <w:r w:rsidRPr="002E6691">
        <w:rPr>
          <w:i/>
          <w:lang w:val="en-US"/>
        </w:rPr>
        <w:t xml:space="preserve"> </w:t>
      </w:r>
      <w:r w:rsidRPr="002E6691">
        <w:rPr>
          <w:rFonts w:cstheme="minorHAnsi"/>
          <w:i/>
          <w:lang w:val="en-GB"/>
        </w:rPr>
        <w:t>µg/ml and 3.735 µg/ml (threshold with the highest sum sensitivity + specificity) are plotted. Area under the curve: 0.80. 95% CI: 0.66-0.96 (DeLong). For CRP, thresholds of 5.0</w:t>
      </w:r>
      <w:r w:rsidRPr="002E6691">
        <w:rPr>
          <w:i/>
          <w:lang w:val="en-US"/>
        </w:rPr>
        <w:t xml:space="preserve"> </w:t>
      </w:r>
      <w:r w:rsidRPr="002E6691">
        <w:rPr>
          <w:rFonts w:cstheme="minorHAnsi"/>
          <w:i/>
          <w:lang w:val="en-GB"/>
        </w:rPr>
        <w:t>mg/l (usual threshold) and 2.7 µg/ml (threshold with the highest sum sensitivity + specificity) are plotted. Area under the curve: 0.71. 95% CI: 0.56-0.91 (DeLong)</w:t>
      </w:r>
      <w:r w:rsidRPr="002E6691">
        <w:rPr>
          <w:noProof/>
          <w:lang w:val="en-US"/>
        </w:rPr>
        <w:t xml:space="preserve"> </w:t>
      </w:r>
    </w:p>
    <w:p w:rsidR="002E6691" w:rsidRPr="002E6691" w:rsidRDefault="002E6691" w:rsidP="002E6691">
      <w:pPr>
        <w:jc w:val="both"/>
        <w:rPr>
          <w:noProof/>
          <w:lang w:val="en-US"/>
        </w:rPr>
      </w:pPr>
    </w:p>
    <w:p w:rsidR="002E6691" w:rsidRPr="002E6691" w:rsidRDefault="002E6691" w:rsidP="002E6691">
      <w:pPr>
        <w:jc w:val="both"/>
        <w:rPr>
          <w:rFonts w:cstheme="minorHAnsi"/>
          <w:b/>
          <w:i/>
          <w:lang w:val="en-AU"/>
        </w:rPr>
      </w:pPr>
      <w:r w:rsidRPr="002E6691">
        <w:rPr>
          <w:noProof/>
          <w:lang w:eastAsia="fr-CH"/>
        </w:rPr>
        <w:drawing>
          <wp:inline distT="0" distB="0" distL="0" distR="0" wp14:anchorId="45A86792" wp14:editId="689A353C">
            <wp:extent cx="6007100" cy="2288202"/>
            <wp:effectExtent l="0" t="0" r="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78" r="2767"/>
                    <a:stretch/>
                  </pic:blipFill>
                  <pic:spPr bwMode="auto">
                    <a:xfrm>
                      <a:off x="0" y="0"/>
                      <a:ext cx="6037179" cy="2299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6691" w:rsidRPr="002E6691" w:rsidRDefault="002E6691" w:rsidP="002E6691">
      <w:pPr>
        <w:spacing w:after="0" w:line="240" w:lineRule="auto"/>
        <w:jc w:val="both"/>
        <w:rPr>
          <w:rFonts w:cstheme="minorHAnsi"/>
          <w:i/>
          <w:lang w:val="en-AU"/>
        </w:rPr>
      </w:pPr>
      <w:r w:rsidRPr="002E6691">
        <w:rPr>
          <w:noProof/>
          <w:lang w:eastAsia="fr-CH"/>
        </w:rPr>
        <w:drawing>
          <wp:inline distT="0" distB="0" distL="0" distR="0" wp14:anchorId="7EF93FE5" wp14:editId="3B15331F">
            <wp:extent cx="5905500" cy="2787496"/>
            <wp:effectExtent l="0" t="0" r="0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5" t="17324" r="8267" b="6313"/>
                    <a:stretch/>
                  </pic:blipFill>
                  <pic:spPr bwMode="auto">
                    <a:xfrm>
                      <a:off x="0" y="0"/>
                      <a:ext cx="5954655" cy="2810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6691" w:rsidRPr="002E6691" w:rsidRDefault="002E6691" w:rsidP="002E6691">
      <w:pPr>
        <w:spacing w:after="0" w:line="240" w:lineRule="auto"/>
        <w:jc w:val="both"/>
        <w:rPr>
          <w:rFonts w:cstheme="minorHAnsi"/>
          <w:b/>
          <w:i/>
          <w:lang w:val="en-AU"/>
        </w:rPr>
      </w:pPr>
    </w:p>
    <w:p w:rsidR="002E6691" w:rsidRPr="002E6691" w:rsidRDefault="002E6691" w:rsidP="002E6691">
      <w:pPr>
        <w:spacing w:after="0" w:line="240" w:lineRule="auto"/>
        <w:jc w:val="both"/>
        <w:rPr>
          <w:rFonts w:cstheme="minorHAnsi"/>
          <w:b/>
          <w:i/>
          <w:lang w:val="en-AU"/>
        </w:rPr>
      </w:pPr>
    </w:p>
    <w:p w:rsidR="00160B05" w:rsidRDefault="00160B05">
      <w:pPr>
        <w:rPr>
          <w:rFonts w:ascii="Times New Roman" w:hAnsi="Times New Roman" w:cs="Times New Roman"/>
          <w:b/>
          <w:sz w:val="24"/>
          <w:szCs w:val="24"/>
          <w:lang w:val="en-AU"/>
        </w:rPr>
      </w:pPr>
      <w:r>
        <w:rPr>
          <w:rFonts w:ascii="Times New Roman" w:hAnsi="Times New Roman" w:cs="Times New Roman"/>
          <w:b/>
          <w:sz w:val="24"/>
          <w:szCs w:val="24"/>
          <w:lang w:val="en-AU"/>
        </w:rPr>
        <w:br w:type="page"/>
      </w:r>
    </w:p>
    <w:p w:rsidR="00160B05" w:rsidRDefault="00160B05" w:rsidP="00160B05">
      <w:pPr>
        <w:spacing w:after="0" w:line="360" w:lineRule="auto"/>
        <w:jc w:val="both"/>
        <w:rPr>
          <w:rFonts w:cstheme="minorHAnsi"/>
          <w:i/>
          <w:lang w:val="en-AU"/>
        </w:rPr>
      </w:pPr>
      <w:r w:rsidRPr="00242132">
        <w:rPr>
          <w:rFonts w:cstheme="minorHAnsi"/>
          <w:b/>
          <w:i/>
          <w:lang w:val="en-AU"/>
        </w:rPr>
        <w:lastRenderedPageBreak/>
        <w:t>Figure S</w:t>
      </w:r>
      <w:r>
        <w:rPr>
          <w:rFonts w:cstheme="minorHAnsi"/>
          <w:b/>
          <w:i/>
          <w:lang w:val="en-AU"/>
        </w:rPr>
        <w:t>5</w:t>
      </w:r>
      <w:r w:rsidRPr="00242132">
        <w:rPr>
          <w:rFonts w:cstheme="minorHAnsi"/>
          <w:b/>
          <w:i/>
          <w:lang w:val="en-AU"/>
        </w:rPr>
        <w:t>:</w:t>
      </w:r>
      <w:r w:rsidRPr="00242132">
        <w:rPr>
          <w:rFonts w:cstheme="minorHAnsi"/>
          <w:i/>
          <w:lang w:val="en-AU"/>
        </w:rPr>
        <w:t xml:space="preserve"> </w:t>
      </w:r>
      <w:r w:rsidRPr="00242132">
        <w:rPr>
          <w:rFonts w:cstheme="minorHAnsi"/>
          <w:b/>
          <w:i/>
          <w:lang w:val="en-AU"/>
        </w:rPr>
        <w:t>Ratingen score evolution over time for each calprotectin quartile levels in the RA population.</w:t>
      </w:r>
      <w:r w:rsidRPr="00242132">
        <w:rPr>
          <w:rFonts w:cstheme="minorHAnsi"/>
          <w:i/>
          <w:lang w:val="en-AU"/>
        </w:rPr>
        <w:t xml:space="preserve"> </w:t>
      </w:r>
    </w:p>
    <w:p w:rsidR="00160B05" w:rsidRPr="00242132" w:rsidRDefault="00160B05" w:rsidP="00160B05">
      <w:pPr>
        <w:spacing w:after="0" w:line="360" w:lineRule="auto"/>
        <w:jc w:val="both"/>
        <w:rPr>
          <w:rFonts w:cstheme="minorHAnsi"/>
          <w:i/>
          <w:lang w:val="en-AU"/>
        </w:rPr>
      </w:pPr>
    </w:p>
    <w:p w:rsidR="00160B05" w:rsidRDefault="00160B05" w:rsidP="00160B05">
      <w:pPr>
        <w:spacing w:after="0" w:line="360" w:lineRule="auto"/>
        <w:jc w:val="center"/>
        <w:rPr>
          <w:rFonts w:cstheme="minorHAnsi"/>
          <w:lang w:val="en-AU"/>
        </w:rPr>
      </w:pPr>
      <w:r w:rsidRPr="00242132">
        <w:rPr>
          <w:noProof/>
          <w:lang w:eastAsia="fr-CH"/>
        </w:rPr>
        <w:drawing>
          <wp:inline distT="0" distB="0" distL="0" distR="0" wp14:anchorId="775B91BC" wp14:editId="0EF2C7BF">
            <wp:extent cx="5099630" cy="3060000"/>
            <wp:effectExtent l="0" t="0" r="6350" b="762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t="7169"/>
                    <a:stretch/>
                  </pic:blipFill>
                  <pic:spPr bwMode="auto">
                    <a:xfrm>
                      <a:off x="0" y="0"/>
                      <a:ext cx="5176567" cy="31061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42132" w:rsidRPr="00160B05" w:rsidRDefault="00242132" w:rsidP="00160B05">
      <w:pPr>
        <w:rPr>
          <w:rFonts w:cstheme="minorHAnsi"/>
          <w:lang w:val="en-AU"/>
        </w:rPr>
      </w:pPr>
    </w:p>
    <w:sectPr w:rsidR="00242132" w:rsidRPr="00160B05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0C07" w:rsidRDefault="00F70C07" w:rsidP="00242132">
      <w:pPr>
        <w:spacing w:after="0" w:line="240" w:lineRule="auto"/>
      </w:pPr>
      <w:r>
        <w:separator/>
      </w:r>
    </w:p>
  </w:endnote>
  <w:endnote w:type="continuationSeparator" w:id="0">
    <w:p w:rsidR="00F70C07" w:rsidRDefault="00F70C07" w:rsidP="00242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27909886"/>
      <w:docPartObj>
        <w:docPartGallery w:val="Page Numbers (Bottom of Page)"/>
        <w:docPartUnique/>
      </w:docPartObj>
    </w:sdtPr>
    <w:sdtEndPr/>
    <w:sdtContent>
      <w:p w:rsidR="00242132" w:rsidRDefault="00242132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:rsidR="00242132" w:rsidRDefault="0024213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0C07" w:rsidRDefault="00F70C07" w:rsidP="00242132">
      <w:pPr>
        <w:spacing w:after="0" w:line="240" w:lineRule="auto"/>
      </w:pPr>
      <w:r>
        <w:separator/>
      </w:r>
    </w:p>
  </w:footnote>
  <w:footnote w:type="continuationSeparator" w:id="0">
    <w:p w:rsidR="00F70C07" w:rsidRDefault="00F70C07" w:rsidP="002421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132"/>
    <w:rsid w:val="000242BA"/>
    <w:rsid w:val="000418F6"/>
    <w:rsid w:val="00090DA0"/>
    <w:rsid w:val="001128AB"/>
    <w:rsid w:val="00160414"/>
    <w:rsid w:val="00160B05"/>
    <w:rsid w:val="00175F51"/>
    <w:rsid w:val="001F2D44"/>
    <w:rsid w:val="00231186"/>
    <w:rsid w:val="00242132"/>
    <w:rsid w:val="002E6691"/>
    <w:rsid w:val="003169D8"/>
    <w:rsid w:val="0043385D"/>
    <w:rsid w:val="004B6B7B"/>
    <w:rsid w:val="004D188D"/>
    <w:rsid w:val="00864D71"/>
    <w:rsid w:val="00AC7178"/>
    <w:rsid w:val="00B25795"/>
    <w:rsid w:val="00D123F0"/>
    <w:rsid w:val="00DE619D"/>
    <w:rsid w:val="00E758CB"/>
    <w:rsid w:val="00F433B7"/>
    <w:rsid w:val="00F70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D914B"/>
  <w15:chartTrackingRefBased/>
  <w15:docId w15:val="{4B29454F-1CC4-491E-9015-D8E2C81B2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template">
    <w:name w:val="table_template"/>
    <w:basedOn w:val="TableauNormal"/>
    <w:uiPriority w:val="59"/>
    <w:rsid w:val="00242132"/>
    <w:pPr>
      <w:spacing w:after="0" w:line="240" w:lineRule="auto"/>
      <w:jc w:val="right"/>
    </w:pPr>
    <w:rPr>
      <w:rFonts w:eastAsiaTheme="minorEastAsia"/>
      <w:sz w:val="24"/>
      <w:szCs w:val="24"/>
      <w:lang w:val="en-US"/>
    </w:r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En-tte">
    <w:name w:val="header"/>
    <w:basedOn w:val="Normal"/>
    <w:link w:val="En-tteCar"/>
    <w:uiPriority w:val="99"/>
    <w:unhideWhenUsed/>
    <w:rsid w:val="002421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42132"/>
  </w:style>
  <w:style w:type="paragraph" w:styleId="Pieddepage">
    <w:name w:val="footer"/>
    <w:basedOn w:val="Normal"/>
    <w:link w:val="PieddepageCar"/>
    <w:uiPriority w:val="99"/>
    <w:unhideWhenUsed/>
    <w:rsid w:val="002421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42132"/>
  </w:style>
  <w:style w:type="paragraph" w:styleId="Textedebulles">
    <w:name w:val="Balloon Text"/>
    <w:basedOn w:val="Normal"/>
    <w:link w:val="TextedebullesCar"/>
    <w:uiPriority w:val="99"/>
    <w:semiHidden/>
    <w:unhideWhenUsed/>
    <w:rsid w:val="000418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418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499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</dc:creator>
  <cp:keywords/>
  <dc:description/>
  <cp:lastModifiedBy>matth</cp:lastModifiedBy>
  <cp:revision>7</cp:revision>
  <dcterms:created xsi:type="dcterms:W3CDTF">2020-03-24T23:50:00Z</dcterms:created>
  <dcterms:modified xsi:type="dcterms:W3CDTF">2020-03-28T17:06:00Z</dcterms:modified>
</cp:coreProperties>
</file>