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C8685F" w14:textId="732B992E" w:rsidR="003B56E8" w:rsidRDefault="003876AC" w:rsidP="00501339">
      <w:pPr>
        <w:spacing w:line="480" w:lineRule="exact"/>
        <w:rPr>
          <w:rFonts w:ascii="Times New Roman" w:hAnsi="Times New Roman" w:cs="Times New Roman"/>
          <w:b/>
          <w:bCs/>
          <w:sz w:val="24"/>
          <w:szCs w:val="24"/>
        </w:rPr>
      </w:pPr>
      <w:bookmarkStart w:id="0" w:name="_Hlk33519446"/>
      <w:r w:rsidRPr="00DD18BC">
        <w:rPr>
          <w:rFonts w:ascii="Times New Roman" w:hAnsi="Times New Roman" w:cs="Times New Roman"/>
          <w:b/>
          <w:bCs/>
          <w:sz w:val="24"/>
          <w:szCs w:val="24"/>
        </w:rPr>
        <w:t>Supplementary Data</w:t>
      </w:r>
      <w:r w:rsidR="00524F87">
        <w:rPr>
          <w:rFonts w:ascii="Times New Roman" w:hAnsi="Times New Roman" w:cs="Times New Roman"/>
          <w:b/>
          <w:bCs/>
          <w:sz w:val="24"/>
          <w:szCs w:val="24"/>
        </w:rPr>
        <w:t xml:space="preserve"> </w:t>
      </w:r>
      <w:r w:rsidR="003A617B">
        <w:rPr>
          <w:rFonts w:ascii="Times New Roman" w:hAnsi="Times New Roman" w:cs="Times New Roman"/>
          <w:b/>
          <w:bCs/>
          <w:sz w:val="24"/>
          <w:szCs w:val="24"/>
        </w:rPr>
        <w:t>1</w:t>
      </w:r>
      <w:r w:rsidR="00524F87">
        <w:rPr>
          <w:rFonts w:ascii="Times New Roman" w:hAnsi="Times New Roman" w:cs="Times New Roman"/>
          <w:b/>
          <w:bCs/>
          <w:sz w:val="24"/>
          <w:szCs w:val="24"/>
        </w:rPr>
        <w:t>:</w:t>
      </w:r>
      <w:r w:rsidR="003A617B">
        <w:rPr>
          <w:rFonts w:ascii="Times New Roman" w:hAnsi="Times New Roman" w:cs="Times New Roman"/>
          <w:b/>
          <w:bCs/>
          <w:sz w:val="24"/>
          <w:szCs w:val="24"/>
        </w:rPr>
        <w:t xml:space="preserve"> </w:t>
      </w:r>
      <w:r w:rsidR="003B56E8">
        <w:rPr>
          <w:rFonts w:ascii="Times New Roman" w:hAnsi="Times New Roman" w:cs="Times New Roman"/>
          <w:b/>
          <w:bCs/>
          <w:sz w:val="24"/>
          <w:szCs w:val="24"/>
        </w:rPr>
        <w:t xml:space="preserve">Description of </w:t>
      </w:r>
      <w:r w:rsidR="0030601A">
        <w:rPr>
          <w:rFonts w:ascii="Times New Roman" w:hAnsi="Times New Roman" w:cs="Times New Roman"/>
          <w:b/>
          <w:bCs/>
          <w:sz w:val="24"/>
          <w:szCs w:val="24"/>
        </w:rPr>
        <w:t xml:space="preserve">the </w:t>
      </w:r>
      <w:r w:rsidR="003B56E8">
        <w:rPr>
          <w:rFonts w:ascii="Times New Roman" w:hAnsi="Times New Roman" w:cs="Times New Roman"/>
          <w:b/>
          <w:bCs/>
          <w:sz w:val="24"/>
          <w:szCs w:val="24"/>
        </w:rPr>
        <w:t>cohort used in t</w:t>
      </w:r>
      <w:r w:rsidR="00A47603">
        <w:rPr>
          <w:rFonts w:ascii="Times New Roman" w:hAnsi="Times New Roman" w:cs="Times New Roman"/>
          <w:b/>
          <w:bCs/>
          <w:sz w:val="24"/>
          <w:szCs w:val="24"/>
        </w:rPr>
        <w:t>he present s</w:t>
      </w:r>
      <w:r w:rsidR="007F0417">
        <w:rPr>
          <w:rFonts w:ascii="Times New Roman" w:hAnsi="Times New Roman" w:cs="Times New Roman"/>
          <w:b/>
          <w:bCs/>
          <w:sz w:val="24"/>
          <w:szCs w:val="24"/>
        </w:rPr>
        <w:t>tudy</w:t>
      </w:r>
    </w:p>
    <w:p w14:paraId="5E81B367" w14:textId="4070911E" w:rsidR="00501339" w:rsidRDefault="003B56E8" w:rsidP="00501339">
      <w:pPr>
        <w:spacing w:line="480" w:lineRule="exact"/>
        <w:rPr>
          <w:rFonts w:ascii="Times New Roman" w:eastAsia="ＭＳ Ｐゴシック" w:hAnsi="Times New Roman" w:cs="Times New Roman"/>
          <w:color w:val="000000" w:themeColor="text1"/>
          <w:sz w:val="24"/>
          <w:szCs w:val="24"/>
        </w:rPr>
      </w:pPr>
      <w:r w:rsidRPr="003B56E8">
        <w:rPr>
          <w:rFonts w:ascii="Times New Roman" w:hAnsi="Times New Roman" w:cs="Times New Roman"/>
          <w:sz w:val="24"/>
          <w:szCs w:val="24"/>
        </w:rPr>
        <w:t>T</w:t>
      </w:r>
      <w:r w:rsidR="00501339" w:rsidRPr="00E34E51">
        <w:rPr>
          <w:rFonts w:ascii="Times New Roman" w:eastAsia="ＭＳ Ｐゴシック" w:hAnsi="Times New Roman" w:cs="Times New Roman"/>
          <w:sz w:val="24"/>
          <w:szCs w:val="24"/>
        </w:rPr>
        <w:t xml:space="preserve">his study </w:t>
      </w:r>
      <w:bookmarkStart w:id="1" w:name="_Hlk9236576"/>
      <w:r w:rsidR="00501339" w:rsidRPr="00E34E51">
        <w:rPr>
          <w:rFonts w:ascii="Times New Roman" w:eastAsia="ＭＳ Ｐゴシック" w:hAnsi="Times New Roman" w:cs="Times New Roman"/>
          <w:sz w:val="24"/>
          <w:szCs w:val="24"/>
        </w:rPr>
        <w:t>used a retrospective cohort design</w:t>
      </w:r>
      <w:bookmarkEnd w:id="1"/>
      <w:r w:rsidR="00501339" w:rsidRPr="00E34E51">
        <w:rPr>
          <w:rFonts w:ascii="Times New Roman" w:eastAsia="ＭＳ Ｐゴシック" w:hAnsi="Times New Roman" w:cs="Times New Roman"/>
          <w:sz w:val="24"/>
          <w:szCs w:val="24"/>
        </w:rPr>
        <w:t xml:space="preserve"> based on </w:t>
      </w:r>
      <w:r w:rsidR="0030601A">
        <w:rPr>
          <w:rFonts w:ascii="Times New Roman" w:eastAsia="ＭＳ Ｐゴシック" w:hAnsi="Times New Roman" w:cs="Times New Roman"/>
          <w:sz w:val="24"/>
          <w:szCs w:val="24"/>
        </w:rPr>
        <w:t xml:space="preserve">a </w:t>
      </w:r>
      <w:r w:rsidR="00501339" w:rsidRPr="00E34E51">
        <w:rPr>
          <w:rFonts w:ascii="Times New Roman" w:eastAsia="ＭＳ Ｐゴシック" w:hAnsi="Times New Roman" w:cs="Times New Roman"/>
          <w:color w:val="000000" w:themeColor="text1"/>
          <w:sz w:val="24"/>
          <w:szCs w:val="24"/>
        </w:rPr>
        <w:t xml:space="preserve">Fujita Health University cohort and </w:t>
      </w:r>
      <w:r w:rsidR="0030601A">
        <w:rPr>
          <w:rFonts w:ascii="Times New Roman" w:eastAsia="ＭＳ Ｐゴシック" w:hAnsi="Times New Roman" w:cs="Times New Roman"/>
          <w:color w:val="000000" w:themeColor="text1"/>
          <w:sz w:val="24"/>
          <w:szCs w:val="24"/>
        </w:rPr>
        <w:t xml:space="preserve">the </w:t>
      </w:r>
      <w:r w:rsidR="00501339" w:rsidRPr="00E34E51">
        <w:rPr>
          <w:rFonts w:ascii="Times New Roman" w:eastAsia="ＭＳ Ｐゴシック" w:hAnsi="Times New Roman" w:cs="Times New Roman"/>
          <w:color w:val="000000" w:themeColor="text1"/>
          <w:sz w:val="24"/>
          <w:szCs w:val="24"/>
        </w:rPr>
        <w:t>Nagoya Kidney Disease Registry (N-KDR) cohort that included patients who underwent renal biopsy</w:t>
      </w:r>
      <w:r w:rsidR="00501339">
        <w:rPr>
          <w:rFonts w:ascii="Times New Roman" w:eastAsia="ＭＳ Ｐゴシック" w:hAnsi="Times New Roman" w:cs="Times New Roman"/>
          <w:color w:val="000000" w:themeColor="text1"/>
          <w:sz w:val="24"/>
          <w:szCs w:val="24"/>
        </w:rPr>
        <w:t xml:space="preserve"> </w:t>
      </w:r>
      <w:r w:rsidR="00501339" w:rsidRPr="00D85977">
        <w:rPr>
          <w:rFonts w:ascii="Times New Roman" w:eastAsia="ＭＳ Ｐゴシック" w:hAnsi="Times New Roman" w:cs="Times New Roman"/>
          <w:color w:val="000000" w:themeColor="text1"/>
          <w:sz w:val="24"/>
          <w:szCs w:val="24"/>
        </w:rPr>
        <w:t xml:space="preserve">at </w:t>
      </w:r>
      <w:r w:rsidR="00501339" w:rsidRPr="00D85977">
        <w:rPr>
          <w:rFonts w:ascii="Times New Roman" w:eastAsia="ＭＳ Ｐゴシック" w:hAnsi="Times New Roman" w:cs="Times New Roman"/>
          <w:sz w:val="24"/>
          <w:szCs w:val="24"/>
        </w:rPr>
        <w:t xml:space="preserve">Fujita Health University Hospital, and </w:t>
      </w:r>
      <w:r w:rsidR="00501339" w:rsidRPr="00D85977">
        <w:rPr>
          <w:rFonts w:ascii="Times New Roman" w:eastAsia="ＭＳ Ｐゴシック" w:hAnsi="Times New Roman" w:cs="Times New Roman"/>
          <w:color w:val="000000" w:themeColor="text1"/>
          <w:sz w:val="24"/>
          <w:szCs w:val="24"/>
        </w:rPr>
        <w:t>Nagoya University or its affiliated hospitals as follows:</w:t>
      </w:r>
      <w:r w:rsidR="00501339" w:rsidRPr="00D85977">
        <w:rPr>
          <w:rFonts w:ascii="Times New Roman" w:eastAsia="ＭＳ Ｐゴシック" w:hAnsi="Times New Roman" w:cs="Times New Roman"/>
          <w:sz w:val="24"/>
          <w:szCs w:val="24"/>
        </w:rPr>
        <w:t xml:space="preserve"> Chubu </w:t>
      </w:r>
      <w:proofErr w:type="spellStart"/>
      <w:r w:rsidR="00501339" w:rsidRPr="00D85977">
        <w:rPr>
          <w:rFonts w:ascii="Times New Roman" w:eastAsia="ＭＳ Ｐゴシック" w:hAnsi="Times New Roman" w:cs="Times New Roman"/>
          <w:sz w:val="24"/>
          <w:szCs w:val="24"/>
        </w:rPr>
        <w:t>Rosai</w:t>
      </w:r>
      <w:proofErr w:type="spellEnd"/>
      <w:r w:rsidR="00501339" w:rsidRPr="00D85977">
        <w:rPr>
          <w:rFonts w:ascii="Times New Roman" w:eastAsia="ＭＳ Ｐゴシック" w:hAnsi="Times New Roman" w:cs="Times New Roman"/>
          <w:sz w:val="24"/>
          <w:szCs w:val="24"/>
        </w:rPr>
        <w:t xml:space="preserve"> Hospital, Toyohashi Municipal Hospital, Japanese Red Cross Nagoya Daiichi Hospital, </w:t>
      </w:r>
      <w:proofErr w:type="spellStart"/>
      <w:r w:rsidR="00501339" w:rsidRPr="00D85977">
        <w:rPr>
          <w:rFonts w:ascii="Times New Roman" w:eastAsia="ＭＳ Ｐゴシック" w:hAnsi="Times New Roman" w:cs="Times New Roman"/>
          <w:sz w:val="24"/>
          <w:szCs w:val="24"/>
        </w:rPr>
        <w:t>Anjo</w:t>
      </w:r>
      <w:proofErr w:type="spellEnd"/>
      <w:r w:rsidR="00501339" w:rsidRPr="00D85977">
        <w:rPr>
          <w:rFonts w:ascii="Times New Roman" w:eastAsia="ＭＳ Ｐゴシック" w:hAnsi="Times New Roman" w:cs="Times New Roman"/>
          <w:sz w:val="24"/>
          <w:szCs w:val="24"/>
        </w:rPr>
        <w:t xml:space="preserve"> Kosei Hospital, Ogaki Municipal Hospital, Kasugai Municipal Hospital, Ichinomiya Municipal Hospital, </w:t>
      </w:r>
      <w:proofErr w:type="spellStart"/>
      <w:r w:rsidR="00501339" w:rsidRPr="00D85977">
        <w:rPr>
          <w:rFonts w:ascii="Times New Roman" w:eastAsia="ＭＳ Ｐゴシック" w:hAnsi="Times New Roman" w:cs="Times New Roman"/>
          <w:sz w:val="24"/>
          <w:szCs w:val="24"/>
        </w:rPr>
        <w:t>Handa</w:t>
      </w:r>
      <w:proofErr w:type="spellEnd"/>
      <w:r w:rsidR="00501339" w:rsidRPr="00D85977">
        <w:rPr>
          <w:rFonts w:ascii="Times New Roman" w:eastAsia="ＭＳ Ｐゴシック" w:hAnsi="Times New Roman" w:cs="Times New Roman"/>
          <w:sz w:val="24"/>
          <w:szCs w:val="24"/>
        </w:rPr>
        <w:t xml:space="preserve"> City Hospital, Nagoya Kyoritsu Hospital, </w:t>
      </w:r>
      <w:proofErr w:type="spellStart"/>
      <w:r w:rsidR="00501339" w:rsidRPr="00D85977">
        <w:rPr>
          <w:rFonts w:ascii="Times New Roman" w:eastAsia="ＭＳ Ｐゴシック" w:hAnsi="Times New Roman" w:cs="Times New Roman"/>
          <w:sz w:val="24"/>
          <w:szCs w:val="24"/>
        </w:rPr>
        <w:t>Tosei</w:t>
      </w:r>
      <w:proofErr w:type="spellEnd"/>
      <w:r w:rsidR="00501339" w:rsidRPr="00D85977">
        <w:rPr>
          <w:rFonts w:ascii="Times New Roman" w:eastAsia="ＭＳ Ｐゴシック" w:hAnsi="Times New Roman" w:cs="Times New Roman"/>
          <w:sz w:val="24"/>
          <w:szCs w:val="24"/>
        </w:rPr>
        <w:t xml:space="preserve"> General Hospital, Konan Kosei Hospital, Yokkaichi Municipal Hospital, and Gifu Prefectural </w:t>
      </w:r>
      <w:proofErr w:type="spellStart"/>
      <w:r w:rsidR="00501339" w:rsidRPr="00D85977">
        <w:rPr>
          <w:rFonts w:ascii="Times New Roman" w:eastAsia="ＭＳ Ｐゴシック" w:hAnsi="Times New Roman" w:cs="Times New Roman"/>
          <w:sz w:val="24"/>
          <w:szCs w:val="24"/>
        </w:rPr>
        <w:t>Tajimi</w:t>
      </w:r>
      <w:proofErr w:type="spellEnd"/>
      <w:r w:rsidR="00501339" w:rsidRPr="00D85977">
        <w:rPr>
          <w:rFonts w:ascii="Times New Roman" w:eastAsia="ＭＳ Ｐゴシック" w:hAnsi="Times New Roman" w:cs="Times New Roman"/>
          <w:sz w:val="24"/>
          <w:szCs w:val="24"/>
        </w:rPr>
        <w:t xml:space="preserve"> Hospital.</w:t>
      </w:r>
      <w:r w:rsidR="00501339" w:rsidRPr="00D85977">
        <w:rPr>
          <w:rFonts w:ascii="Times New Roman" w:eastAsia="ＭＳ Ｐゴシック" w:hAnsi="Times New Roman" w:cs="Times New Roman"/>
          <w:color w:val="000000" w:themeColor="text1"/>
          <w:sz w:val="24"/>
          <w:szCs w:val="24"/>
        </w:rPr>
        <w:t xml:space="preserve"> </w:t>
      </w:r>
    </w:p>
    <w:p w14:paraId="7FF96BE0" w14:textId="1A94C7BC" w:rsidR="003A617B" w:rsidRPr="00D85977" w:rsidRDefault="003A617B" w:rsidP="00501339">
      <w:pPr>
        <w:spacing w:line="480" w:lineRule="exact"/>
        <w:rPr>
          <w:rFonts w:ascii="Times New Roman" w:eastAsia="ＭＳ Ｐゴシック" w:hAnsi="Times New Roman" w:cs="Times New Roman"/>
          <w:color w:val="000000" w:themeColor="text1"/>
          <w:sz w:val="24"/>
          <w:szCs w:val="24"/>
        </w:rPr>
      </w:pPr>
      <w:r>
        <w:rPr>
          <w:rFonts w:ascii="Times New Roman" w:eastAsia="ＭＳ Ｐゴシック" w:hAnsi="Times New Roman" w:cs="Times New Roman"/>
          <w:color w:val="000000" w:themeColor="text1"/>
          <w:sz w:val="24"/>
          <w:szCs w:val="24"/>
        </w:rPr>
        <w:tab/>
      </w:r>
      <w:r w:rsidRPr="00A736D3">
        <w:rPr>
          <w:rFonts w:ascii="Times New Roman" w:hAnsi="Times New Roman" w:cs="Times New Roman"/>
          <w:sz w:val="24"/>
          <w:szCs w:val="24"/>
        </w:rPr>
        <w:t>Of the total 6977 renal biopsies at the time, there were primary glomerular disease (25.4%), IgA nephropathy (24.3%), and TIN (except IgG4-related TIN) (2.4%), and as autoimmune disease, lupus nephritis (7.6%), MPO-ANCA positive nephritis (6.1%), purpura nephritis (2.5%), anti-GBM antibody-type nephritis (0.6%), PR3-ANCA positive nephritis (0.4%). Finally, 24 patients (0.34%) were diagnosed with IgG4-related TIN throughout the entire period (</w:t>
      </w:r>
      <w:r w:rsidRPr="00A736D3">
        <w:rPr>
          <w:rFonts w:ascii="Times New Roman" w:eastAsia="ＭＳ Ｐゴシック" w:hAnsi="Times New Roman" w:cs="Times New Roman"/>
          <w:color w:val="000000" w:themeColor="text1"/>
          <w:sz w:val="24"/>
          <w:szCs w:val="24"/>
        </w:rPr>
        <w:t xml:space="preserve">between </w:t>
      </w:r>
      <w:r w:rsidRPr="00A736D3">
        <w:rPr>
          <w:rFonts w:ascii="Times New Roman" w:eastAsia="ＭＳ Ｐゴシック" w:hAnsi="Times New Roman" w:cs="Times New Roman"/>
          <w:sz w:val="24"/>
          <w:szCs w:val="24"/>
        </w:rPr>
        <w:t>April 2003 and March 2015</w:t>
      </w:r>
      <w:r w:rsidRPr="00A736D3">
        <w:rPr>
          <w:rFonts w:ascii="Times New Roman" w:hAnsi="Times New Roman" w:cs="Times New Roman"/>
          <w:sz w:val="24"/>
          <w:szCs w:val="24"/>
        </w:rPr>
        <w:t>)</w:t>
      </w:r>
      <w:r w:rsidRPr="00A736D3">
        <w:rPr>
          <w:rFonts w:ascii="Times New Roman" w:eastAsia="ＭＳ Ｐゴシック" w:hAnsi="Times New Roman" w:cs="Times New Roman"/>
          <w:color w:val="000000" w:themeColor="text1"/>
          <w:sz w:val="24"/>
          <w:szCs w:val="24"/>
        </w:rPr>
        <w:t xml:space="preserve">. </w:t>
      </w:r>
      <w:r w:rsidR="00261181">
        <w:rPr>
          <w:rFonts w:ascii="Times New Roman" w:eastAsia="ＭＳ Ｐゴシック" w:hAnsi="Times New Roman" w:cs="Times New Roman"/>
          <w:color w:val="000000" w:themeColor="text1"/>
          <w:sz w:val="24"/>
          <w:szCs w:val="24"/>
        </w:rPr>
        <w:t xml:space="preserve">For details, please see Supplemental Figure </w:t>
      </w:r>
      <w:r w:rsidR="00FB1263">
        <w:rPr>
          <w:rFonts w:ascii="Times New Roman" w:eastAsia="ＭＳ Ｐゴシック" w:hAnsi="Times New Roman" w:cs="Times New Roman" w:hint="eastAsia"/>
          <w:color w:val="000000" w:themeColor="text1"/>
          <w:sz w:val="24"/>
          <w:szCs w:val="24"/>
        </w:rPr>
        <w:t>S</w:t>
      </w:r>
      <w:r w:rsidR="00261181">
        <w:rPr>
          <w:rFonts w:ascii="Times New Roman" w:eastAsia="ＭＳ Ｐゴシック" w:hAnsi="Times New Roman" w:cs="Times New Roman"/>
          <w:color w:val="000000" w:themeColor="text1"/>
          <w:sz w:val="24"/>
          <w:szCs w:val="24"/>
        </w:rPr>
        <w:t xml:space="preserve">1. </w:t>
      </w:r>
      <w:r w:rsidR="007B369E" w:rsidRPr="00A736D3">
        <w:rPr>
          <w:rFonts w:ascii="Times New Roman" w:eastAsia="ＭＳ Ｐゴシック" w:hAnsi="Times New Roman" w:cs="Times New Roman"/>
          <w:color w:val="000000" w:themeColor="text1"/>
          <w:sz w:val="24"/>
          <w:szCs w:val="24"/>
        </w:rPr>
        <w:t>Patients with IgG4-RKD were 0.67% of</w:t>
      </w:r>
      <w:r w:rsidR="007B369E">
        <w:rPr>
          <w:rFonts w:ascii="Times New Roman" w:eastAsia="ＭＳ Ｐゴシック" w:hAnsi="Times New Roman" w:cs="Times New Roman"/>
          <w:color w:val="000000" w:themeColor="text1"/>
          <w:sz w:val="24"/>
          <w:szCs w:val="24"/>
        </w:rPr>
        <w:t xml:space="preserve"> Japan Renal Biopsy Registry (</w:t>
      </w:r>
      <w:r w:rsidR="007B369E" w:rsidRPr="00A736D3">
        <w:rPr>
          <w:rFonts w:ascii="Times New Roman" w:eastAsia="ＭＳ Ｐゴシック" w:hAnsi="Times New Roman" w:cs="Times New Roman"/>
          <w:color w:val="000000" w:themeColor="text1"/>
          <w:sz w:val="24"/>
          <w:szCs w:val="24"/>
        </w:rPr>
        <w:t>J-RBR</w:t>
      </w:r>
      <w:r w:rsidR="007B369E">
        <w:rPr>
          <w:rFonts w:ascii="Times New Roman" w:eastAsia="ＭＳ Ｐゴシック" w:hAnsi="Times New Roman" w:cs="Times New Roman"/>
          <w:color w:val="000000" w:themeColor="text1"/>
          <w:sz w:val="24"/>
          <w:szCs w:val="24"/>
        </w:rPr>
        <w:t>),</w:t>
      </w:r>
      <w:r w:rsidR="007B369E" w:rsidRPr="00A736D3">
        <w:rPr>
          <w:rFonts w:ascii="Times New Roman" w:eastAsia="ＭＳ Ｐゴシック" w:hAnsi="Times New Roman" w:cs="Times New Roman"/>
          <w:color w:val="000000" w:themeColor="text1"/>
          <w:sz w:val="24"/>
          <w:szCs w:val="24"/>
        </w:rPr>
        <w:t xml:space="preserve"> a nationwide, web-based, prospective registry system </w:t>
      </w:r>
      <w:r w:rsidR="007B369E">
        <w:rPr>
          <w:rFonts w:ascii="Times New Roman" w:eastAsia="ＭＳ Ｐゴシック" w:hAnsi="Times New Roman" w:cs="Times New Roman"/>
          <w:color w:val="000000" w:themeColor="text1"/>
          <w:sz w:val="24"/>
          <w:szCs w:val="24"/>
        </w:rPr>
        <w:t>including</w:t>
      </w:r>
      <w:r w:rsidR="007B369E" w:rsidRPr="00A736D3">
        <w:rPr>
          <w:rFonts w:ascii="Times New Roman" w:eastAsia="ＭＳ Ｐゴシック" w:hAnsi="Times New Roman" w:cs="Times New Roman"/>
          <w:color w:val="000000" w:themeColor="text1"/>
          <w:sz w:val="24"/>
          <w:szCs w:val="24"/>
        </w:rPr>
        <w:t xml:space="preserve"> data </w:t>
      </w:r>
      <w:r w:rsidR="007B369E">
        <w:rPr>
          <w:rFonts w:ascii="Times New Roman" w:eastAsia="ＭＳ Ｐゴシック" w:hAnsi="Times New Roman" w:cs="Times New Roman"/>
          <w:color w:val="000000" w:themeColor="text1"/>
          <w:sz w:val="24"/>
          <w:szCs w:val="24"/>
        </w:rPr>
        <w:t>on</w:t>
      </w:r>
      <w:r w:rsidR="007B369E" w:rsidRPr="00A736D3">
        <w:rPr>
          <w:rFonts w:ascii="Times New Roman" w:eastAsia="ＭＳ Ｐゴシック" w:hAnsi="Times New Roman" w:cs="Times New Roman"/>
          <w:color w:val="000000" w:themeColor="text1"/>
          <w:sz w:val="24"/>
          <w:szCs w:val="24"/>
        </w:rPr>
        <w:t xml:space="preserve"> pathology, clinic, and laboratory of patients </w:t>
      </w:r>
      <w:r w:rsidR="007B369E">
        <w:rPr>
          <w:rFonts w:ascii="Times New Roman" w:eastAsia="ＭＳ Ｐゴシック" w:hAnsi="Times New Roman" w:cs="Times New Roman"/>
          <w:color w:val="000000" w:themeColor="text1"/>
          <w:sz w:val="24"/>
          <w:szCs w:val="24"/>
        </w:rPr>
        <w:t xml:space="preserve">who </w:t>
      </w:r>
      <w:r w:rsidR="007B369E" w:rsidRPr="00A736D3">
        <w:rPr>
          <w:rFonts w:ascii="Times New Roman" w:eastAsia="ＭＳ Ｐゴシック" w:hAnsi="Times New Roman" w:cs="Times New Roman"/>
          <w:color w:val="000000" w:themeColor="text1"/>
          <w:sz w:val="24"/>
          <w:szCs w:val="24"/>
        </w:rPr>
        <w:t>underwent renal biopsies in Japan</w:t>
      </w:r>
      <w:r w:rsidR="007B369E">
        <w:rPr>
          <w:rFonts w:ascii="Times New Roman" w:eastAsia="ＭＳ Ｐゴシック" w:hAnsi="Times New Roman" w:cs="Times New Roman"/>
          <w:color w:val="000000" w:themeColor="text1"/>
          <w:sz w:val="24"/>
          <w:szCs w:val="24"/>
        </w:rPr>
        <w:t xml:space="preserve">. </w:t>
      </w:r>
      <w:r w:rsidR="00515A03">
        <w:rPr>
          <w:rFonts w:ascii="Times New Roman" w:eastAsia="ＭＳ Ｐゴシック" w:hAnsi="Times New Roman" w:cs="Times New Roman"/>
          <w:color w:val="000000" w:themeColor="text1"/>
          <w:sz w:val="24"/>
          <w:szCs w:val="24"/>
        </w:rPr>
        <w:fldChar w:fldCharType="begin" w:fldLock="1"/>
      </w:r>
      <w:r w:rsidR="00515A03">
        <w:rPr>
          <w:rFonts w:ascii="Times New Roman" w:eastAsia="ＭＳ Ｐゴシック" w:hAnsi="Times New Roman" w:cs="Times New Roman"/>
          <w:color w:val="000000" w:themeColor="text1"/>
          <w:sz w:val="24"/>
          <w:szCs w:val="24"/>
        </w:rPr>
        <w:instrText>ADDIN CSL_CITATION {"citationItems":[{"id":"ITEM-1","itemData":{"DOI":"10.1007/s10157-011-0430-4","abstract":"Background The Committee for the Standardization of Renal Pathological Diagnosis and the Working Group for Renal Biopsy Database of the Japanese Society of Nephrology started the first nationwide, web-based, and prospective registry system, the Japan Renal Biopsy Registry (J-RBR), to record the pathological, clinical, and laboratory data of renal biopsies in 2007. Methods The patient data including age, gender, laboratory data, and clinical and pathological diagnoses were recorded on the web page of the J-RBR, which utilizes the system of the Internet Data and Information Center for Medical Research in the University Hospital Medical Information Network. We analyzed the clinical and pathological diagnoses registered on the J-RBR in 2007 and 2008. Results Data were collected from 818 patients from 18 centers in 2007 and 1582 patients from 23 centers in 2008, including the affiliated hospitals. Renal biopsies were obtained from 726 native kidneys (88.8%) and 92 renal grafts (11.2%) in 2007, and 1400 native kidneys (88.5%) and 182 renal grafts (11.5%) in 2008. The most common clinical diagnosis was chronic nephritic syndrome (47.4%), followed by nephrotic syndrome (16.8%) and renal Electronic supplementary material The online version of this article (","author":[{"dropping-particle":"","family":"Sugiyama","given":"Hitoshi","non-dropping-particle":"","parse-names":false,"suffix":""},{"dropping-particle":"","family":"Yokoyama","given":"Hitoshi","non-dropping-particle":"","parse-names":false,"suffix":""},{"dropping-particle":"","family":"Sato","given":"Hiroshi","non-dropping-particle":"","parse-names":false,"suffix":""},{"dropping-particle":"","family":"Saito","given":"Takao","non-dropping-particle":"","parse-names":false,"suffix":""},{"dropping-particle":"","family":"Kohda","given":"Yukimasa","non-dropping-particle":"","parse-names":false,"suffix":""},{"dropping-particle":"","family":"Shinichi","given":"•","non-dropping-particle":"","parse-names":false,"suffix":""},{"dropping-particle":"","family":"Kazuhiko Tsuruya","given":"Nishi •","non-dropping-particle":"","parse-names":false,"suffix":""},{"dropping-particle":"","family":"Kiyomoto","given":"Hideyasu","non-dropping-particle":"","parse-names":false,"suffix":""},{"dropping-particle":"","family":"Iida","given":"Hiroyuki","non-dropping-particle":"","parse-names":false,"suffix":""},{"dropping-particle":"","family":"Sasaki","given":"Tamaki","non-dropping-particle":"","parse-names":false,"suffix":""},{"dropping-particle":"","family":"Higuchi","given":"Makoto","non-dropping-particle":"","parse-names":false,"suffix":""},{"dropping-particle":"","family":"Hattori","given":"Motoshi","non-dropping-particle":"","parse-names":false,"suffix":""},{"dropping-particle":"","family":"Oka","given":"Kazumasa","non-dropping-particle":"","parse-names":false,"suffix":""},{"dropping-particle":"","family":"Kagami","given":"Shoji","non-dropping-particle":"","parse-names":false,"suffix":""},{"dropping-particle":"","family":"Nagata","given":"Michio","non-dropping-particle":"","parse-names":false,"suffix":""},{"dropping-particle":"","family":"Kawamura","given":"Tetsuya","non-dropping-particle":"","parse-names":false,"suffix":""},{"dropping-particle":"","family":"Honda","given":"Masataka","non-dropping-particle":"","parse-names":false,"suffix":""},{"dropping-particle":"","family":"Fukasawa","given":"Yuichiro","non-dropping-particle":"","parse-names":false,"suffix":""},{"dropping-particle":"","family":"Fukatsu","given":"Atsushi","non-dropping-particle":"","parse-names":false,"suffix":""},{"dropping-particle":"","family":"Morozumi","given":"Kunio","non-dropping-particle":"","parse-names":false,"suffix":""},{"dropping-particle":"","family":"Yoshikawa","given":"Norishige","non-dropping-particle":"","parse-names":false,"suffix":""},{"dropping-particle":"","family":"Yuzawa","given":"Yukio","non-dropping-particle":"","parse-names":false,"suffix":""},{"dropping-particle":"","family":"Matsuo","given":"Seiichi","non-dropping-particle":"","parse-names":false,"suffix":""},{"dropping-particle":"","family":"Kiyohara","given":"Yutaka","non-dropping-particle":"","parse-names":false,"suffix":""},{"dropping-particle":"","family":"Kensuke","given":"•","non-dropping-particle":"","parse-names":false,"suffix":""},{"dropping-particle":"","family":"Takashi Taguchi","given":"Joh •","non-dropping-particle":"","parse-names":false,"suffix":""},{"dropping-particle":"","family":"Makino","given":"Hirofumi","non-dropping-particle":"","parse-names":false,"suffix":""},{"dropping-particle":"","family":"Sugiyama","given":"H","non-dropping-particle":"","parse-names":false,"suffix":""},{"dropping-particle":"","family":"Makino","given":"Á H","non-dropping-particle":"","parse-names":false,"suffix":""},{"dropping-particle":"","family":"Yokoyama","given":"H","non-dropping-particle":"","parse-names":false,"suffix":""},{"dropping-particle":"","family":"Sato","given":"H","non-dropping-particle":"","parse-names":false,"suffix":""},{"dropping-particle":"","family":"Saito","given":"T","non-dropping-particle":"","parse-names":false,"suffix":""},{"dropping-particle":"","family":"Kohda","given":"Y","non-dropping-particle":"","parse-names":false,"suffix":""},{"dropping-particle":"","family":"Nishi","given":"S","non-dropping-particle":"","parse-names":false,"suffix":""},{"dropping-particle":"","family":"Tsuruya","given":"K","non-dropping-particle":"","parse-names":false,"suffix":""},{"dropping-particle":"","family":"Kiyomoto","given":"H","non-dropping-particle":"","parse-names":false,"suffix":""},{"dropping-particle":"","family":"Iida","given":"H","non-dropping-particle":"","parse-names":false,"suffix":""},{"dropping-particle":"","family":"Sasaki","given":"T","non-dropping-particle":"","parse-names":false,"suffix":""},{"dropping-particle":"","family":"Higuchi","given":"M","non-dropping-particle":"","parse-names":false,"suffix":""},{"dropping-particle":"","family":"Hattori","given":"M","non-dropping-particle":"","parse-names":false,"suffix":""}],"container-title":"Clin Exp Nephrol","id":"ITEM-1","issued":{"date-parts":[["2011"]]},"page":"493-503","title":"Japan Renal Biopsy Registry: the first nationwide, web-based, and prospective registry system of renal biopsies in Japan","type":"article-journal","volume":"15"},"uris":["http://www.mendeley.com/documents/?uuid=6b654077-fb73-3378-bed3-8015724f4811"]},{"id":"ITEM-2","itemData":{"DOI":"10.1007/s10157-016-1260-1","ISBN":"1015701612","ISSN":"14377799","abstract":"Background: More than 2 years have passed since the proposal of the diagnostic criteria for IgG4-related kidney disease (IgG4-RKD). The aim of this study was to estimate the number of histological diagnosis for IgG4-RKD throughout Japan and to clarify the regional distribution of the development of this disease. Methods: A questionnaire was supplied to 140 research facilities registered in the Japan Renal Biopsy Registry (J-RBR). The items of the questionnaire were the total number of renal biopsies performed and the number of cases diagnosed as IgG4-RKD in 2012 and 2013 at each facility. Age, sex, and diagnosis category were also included for the IgG4-RKD cases. The geographic distribution of the disease development was evaluated using clinical case reports presented at the Eastern/Western regional meeting of the Japanese Society of Nephrology during the 15 years following 2001. Results: Forty-seven facilities completed the questionnaire, resulting in a collection rate of 34 %. The total numbers of renal biopsies in 2012 and 2013 were 3387 and 3591, respectively. Forty-seven of these cases (24 in 2012 and 23 in 2013) were diagnosed as IgG4-RKD. The frequency of development of IgG4-RKD per one million over 40-year-old individuals during these 15 years varied between 0.9 and 3.1, depending on Japanese geographic region of Japan. Conclusion: The results of the present survey indicate that the number of diagnosis for IgG4-RKD is approximately 130 cases per year throughout Japan, and no regional differences in disease frequency appear to exist.","author":[{"dropping-particle":"","family":"Nakashima","given":"Hitoshi","non-dropping-particle":"","parse-names":false,"suffix":""},{"dropping-particle":"","family":"Kawano","given":"Mitsuhiro","non-dropping-particle":"","parse-names":false,"suffix":""},{"dropping-particle":"","family":"Saeki","given":"Takako","non-dropping-particle":"","parse-names":false,"suffix":""},{"dropping-particle":"","family":"Ubara","given":"Yoshifumi","non-dropping-particle":"","parse-names":false,"suffix":""},{"dropping-particle":"","family":"Hisano","given":"Satoshi","non-dropping-particle":"","parse-names":false,"suffix":""},{"dropping-particle":"","family":"Nagata","given":"Michio","non-dropping-particle":"","parse-names":false,"suffix":""},{"dropping-particle":"","family":"Zen","given":"Yoh","non-dropping-particle":"","parse-names":false,"suffix":""},{"dropping-particle":"","family":"Yanagita","given":"Motoko","non-dropping-particle":"","parse-names":false,"suffix":""},{"dropping-particle":"","family":"Yamaguchi","given":"Yutaka","non-dropping-particle":"","parse-names":false,"suffix":""},{"dropping-particle":"","family":"Nishi","given":"Shinichi","non-dropping-particle":"","parse-names":false,"suffix":""},{"dropping-particle":"","family":"Saito","given":"Takao","non-dropping-particle":"","parse-names":false,"suffix":""}],"container-title":"Clinical and Experimental Nephrology","id":"ITEM-2","issue":"1","issued":{"date-parts":[["2017"]]},"page":"97-103","publisher":"Springer Japan","title":"Estimation of the number of histological diagnosis for IgG4-related kidney disease referred to the data obtained from the Japan Renal Biopsy Registry (J-RBR) questionnaire and cases reported in the Japanese Society of Nephrology Meetings","type":"article-journal","volume":"21"},"uris":["http://www.mendeley.com/documents/?uuid=d7577fde-b611-46f5-a63b-b4ec77881b75"]}],"mendeley":{"formattedCitation":"[1,2]","plainTextFormattedCitation":"[1,2]"},"properties":{"noteIndex":0},"schema":"https://github.com/citation-style-language/schema/raw/master/csl-citation.json"}</w:instrText>
      </w:r>
      <w:r w:rsidR="00515A03">
        <w:rPr>
          <w:rFonts w:ascii="Times New Roman" w:eastAsia="ＭＳ Ｐゴシック" w:hAnsi="Times New Roman" w:cs="Times New Roman"/>
          <w:color w:val="000000" w:themeColor="text1"/>
          <w:sz w:val="24"/>
          <w:szCs w:val="24"/>
        </w:rPr>
        <w:fldChar w:fldCharType="separate"/>
      </w:r>
      <w:r w:rsidR="00515A03" w:rsidRPr="00515A03">
        <w:rPr>
          <w:rFonts w:ascii="Times New Roman" w:eastAsia="ＭＳ Ｐゴシック" w:hAnsi="Times New Roman" w:cs="Times New Roman"/>
          <w:noProof/>
          <w:color w:val="000000" w:themeColor="text1"/>
          <w:sz w:val="24"/>
          <w:szCs w:val="24"/>
        </w:rPr>
        <w:t>[1,2]</w:t>
      </w:r>
      <w:r w:rsidR="00515A03">
        <w:rPr>
          <w:rFonts w:ascii="Times New Roman" w:eastAsia="ＭＳ Ｐゴシック" w:hAnsi="Times New Roman" w:cs="Times New Roman"/>
          <w:color w:val="000000" w:themeColor="text1"/>
          <w:sz w:val="24"/>
          <w:szCs w:val="24"/>
        </w:rPr>
        <w:fldChar w:fldCharType="end"/>
      </w:r>
      <w:r>
        <w:rPr>
          <w:rFonts w:ascii="Times New Roman" w:eastAsia="ＭＳ Ｐゴシック" w:hAnsi="Times New Roman" w:cs="Times New Roman"/>
          <w:color w:val="000000" w:themeColor="text1"/>
          <w:sz w:val="24"/>
          <w:szCs w:val="24"/>
        </w:rPr>
        <w:t xml:space="preserve"> </w:t>
      </w:r>
      <w:r w:rsidRPr="00A736D3">
        <w:rPr>
          <w:rFonts w:ascii="Times New Roman" w:eastAsia="ＭＳ Ｐゴシック" w:hAnsi="Times New Roman" w:cs="Times New Roman" w:hint="eastAsia"/>
          <w:color w:val="000000" w:themeColor="text1"/>
          <w:sz w:val="24"/>
          <w:szCs w:val="24"/>
        </w:rPr>
        <w:t>IgG4-</w:t>
      </w:r>
      <w:r w:rsidR="00C3764E">
        <w:rPr>
          <w:rFonts w:ascii="Times New Roman" w:eastAsia="ＭＳ Ｐゴシック" w:hAnsi="Times New Roman" w:cs="Times New Roman"/>
          <w:color w:val="000000" w:themeColor="text1"/>
          <w:sz w:val="24"/>
          <w:szCs w:val="24"/>
        </w:rPr>
        <w:t xml:space="preserve">related </w:t>
      </w:r>
      <w:r w:rsidRPr="00A736D3">
        <w:rPr>
          <w:rFonts w:ascii="Times New Roman" w:eastAsia="ＭＳ Ｐゴシック" w:hAnsi="Times New Roman" w:cs="Times New Roman" w:hint="eastAsia"/>
          <w:color w:val="000000" w:themeColor="text1"/>
          <w:sz w:val="24"/>
          <w:szCs w:val="24"/>
        </w:rPr>
        <w:t>TIN</w:t>
      </w:r>
      <w:r w:rsidRPr="00A736D3">
        <w:rPr>
          <w:rFonts w:ascii="Times New Roman" w:eastAsia="ＭＳ Ｐゴシック" w:hAnsi="Times New Roman" w:cs="Times New Roman"/>
          <w:color w:val="000000" w:themeColor="text1"/>
          <w:sz w:val="24"/>
          <w:szCs w:val="24"/>
        </w:rPr>
        <w:t xml:space="preserve"> is a rare disease</w:t>
      </w:r>
      <w:r w:rsidRPr="00A736D3">
        <w:rPr>
          <w:rFonts w:ascii="Times New Roman" w:eastAsia="ＭＳ Ｐゴシック" w:hAnsi="Times New Roman" w:cs="Times New Roman" w:hint="eastAsia"/>
          <w:color w:val="000000" w:themeColor="text1"/>
          <w:sz w:val="24"/>
          <w:szCs w:val="24"/>
        </w:rPr>
        <w:t xml:space="preserve"> </w:t>
      </w:r>
      <w:r w:rsidRPr="00A736D3">
        <w:rPr>
          <w:rFonts w:ascii="Times New Roman" w:eastAsia="ＭＳ Ｐゴシック" w:hAnsi="Times New Roman" w:cs="Times New Roman"/>
          <w:color w:val="000000" w:themeColor="text1"/>
          <w:sz w:val="24"/>
          <w:szCs w:val="24"/>
        </w:rPr>
        <w:t>based on the present and previous registries having high representability in Aichi and Japan.</w:t>
      </w:r>
    </w:p>
    <w:p w14:paraId="1A14CEDA" w14:textId="631A82D1" w:rsidR="00501339" w:rsidRDefault="00501339" w:rsidP="00501339">
      <w:pPr>
        <w:tabs>
          <w:tab w:val="left" w:pos="2784"/>
        </w:tabs>
        <w:spacing w:line="480" w:lineRule="exact"/>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noProof/>
          <w:sz w:val="24"/>
          <w:szCs w:val="24"/>
          <w:lang w:eastAsia="en-US"/>
        </w:rPr>
        <w:drawing>
          <wp:anchor distT="0" distB="0" distL="114300" distR="114300" simplePos="0" relativeHeight="251658240" behindDoc="0" locked="0" layoutInCell="1" allowOverlap="1" wp14:anchorId="6FCEF07A" wp14:editId="46DF4737">
            <wp:simplePos x="0" y="0"/>
            <wp:positionH relativeFrom="page">
              <wp:posOffset>961390</wp:posOffset>
            </wp:positionH>
            <wp:positionV relativeFrom="paragraph">
              <wp:posOffset>316865</wp:posOffset>
            </wp:positionV>
            <wp:extent cx="6587601" cy="3360420"/>
            <wp:effectExtent l="0" t="0" r="381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jpg"/>
                    <pic:cNvPicPr/>
                  </pic:nvPicPr>
                  <pic:blipFill>
                    <a:blip r:embed="rId10">
                      <a:extLst>
                        <a:ext uri="{28A0092B-C50C-407E-A947-70E740481C1C}">
                          <a14:useLocalDpi xmlns:a14="http://schemas.microsoft.com/office/drawing/2010/main" val="0"/>
                        </a:ext>
                      </a:extLst>
                    </a:blip>
                    <a:stretch>
                      <a:fillRect/>
                    </a:stretch>
                  </pic:blipFill>
                  <pic:spPr>
                    <a:xfrm>
                      <a:off x="0" y="0"/>
                      <a:ext cx="6587601" cy="3360420"/>
                    </a:xfrm>
                    <a:prstGeom prst="rect">
                      <a:avLst/>
                    </a:prstGeom>
                  </pic:spPr>
                </pic:pic>
              </a:graphicData>
            </a:graphic>
            <wp14:sizeRelH relativeFrom="margin">
              <wp14:pctWidth>0</wp14:pctWidth>
            </wp14:sizeRelH>
            <wp14:sizeRelV relativeFrom="margin">
              <wp14:pctHeight>0</wp14:pctHeight>
            </wp14:sizeRelV>
          </wp:anchor>
        </w:drawing>
      </w:r>
    </w:p>
    <w:p w14:paraId="43096DBA" w14:textId="77777777" w:rsidR="00501339" w:rsidRDefault="00501339" w:rsidP="003876AC">
      <w:pPr>
        <w:spacing w:line="480" w:lineRule="exact"/>
        <w:rPr>
          <w:rFonts w:ascii="Times New Roman" w:hAnsi="Times New Roman" w:cs="Times New Roman"/>
          <w:b/>
          <w:bCs/>
          <w:sz w:val="24"/>
          <w:szCs w:val="24"/>
        </w:rPr>
      </w:pPr>
    </w:p>
    <w:p w14:paraId="46718806" w14:textId="5194B730" w:rsidR="003876AC" w:rsidRPr="00886C2A" w:rsidRDefault="003876AC" w:rsidP="003876AC">
      <w:pPr>
        <w:spacing w:line="480" w:lineRule="exact"/>
        <w:rPr>
          <w:rFonts w:ascii="Times New Roman" w:hAnsi="Times New Roman" w:cs="Times New Roman"/>
          <w:b/>
          <w:bCs/>
          <w:sz w:val="24"/>
          <w:szCs w:val="24"/>
        </w:rPr>
      </w:pPr>
      <w:r>
        <w:rPr>
          <w:rFonts w:ascii="Times New Roman" w:hAnsi="Times New Roman" w:cs="Times New Roman" w:hint="eastAsia"/>
          <w:b/>
          <w:bCs/>
          <w:sz w:val="24"/>
          <w:szCs w:val="24"/>
        </w:rPr>
        <w:t>F</w:t>
      </w:r>
      <w:r>
        <w:rPr>
          <w:rFonts w:ascii="Times New Roman" w:hAnsi="Times New Roman" w:cs="Times New Roman"/>
          <w:b/>
          <w:bCs/>
          <w:sz w:val="24"/>
          <w:szCs w:val="24"/>
        </w:rPr>
        <w:t xml:space="preserve">igure S1. </w:t>
      </w:r>
      <w:r w:rsidRPr="00886C2A">
        <w:rPr>
          <w:rFonts w:ascii="Times New Roman" w:hAnsi="Times New Roman" w:cs="Times New Roman"/>
          <w:b/>
          <w:bCs/>
          <w:sz w:val="24"/>
          <w:szCs w:val="24"/>
        </w:rPr>
        <w:t xml:space="preserve">Frequency </w:t>
      </w:r>
      <w:r>
        <w:rPr>
          <w:rFonts w:ascii="Times New Roman" w:hAnsi="Times New Roman" w:cs="Times New Roman"/>
          <w:b/>
          <w:bCs/>
          <w:sz w:val="24"/>
          <w:szCs w:val="24"/>
        </w:rPr>
        <w:t xml:space="preserve">and proportion </w:t>
      </w:r>
      <w:r w:rsidRPr="00886C2A">
        <w:rPr>
          <w:rFonts w:ascii="Times New Roman" w:hAnsi="Times New Roman" w:cs="Times New Roman"/>
          <w:b/>
          <w:bCs/>
          <w:sz w:val="24"/>
          <w:szCs w:val="24"/>
        </w:rPr>
        <w:t>of pathological diagnoses</w:t>
      </w:r>
    </w:p>
    <w:p w14:paraId="0744E8F9" w14:textId="61F48A96" w:rsidR="00EB4C62" w:rsidRDefault="00EB4C62" w:rsidP="003876AC">
      <w:pPr>
        <w:spacing w:line="480" w:lineRule="exact"/>
        <w:contextualSpacing/>
        <w:rPr>
          <w:rFonts w:ascii="Times New Roman" w:eastAsia="ＭＳ Ｐゴシック" w:hAnsi="Times New Roman" w:cs="Times New Roman"/>
          <w:color w:val="000000" w:themeColor="text1"/>
          <w:sz w:val="24"/>
          <w:szCs w:val="24"/>
        </w:rPr>
      </w:pPr>
    </w:p>
    <w:p w14:paraId="5C29C15D" w14:textId="1DEDEF89" w:rsidR="00501339" w:rsidRDefault="00501339" w:rsidP="003876AC">
      <w:pPr>
        <w:spacing w:line="480" w:lineRule="exact"/>
        <w:contextualSpacing/>
        <w:rPr>
          <w:rFonts w:ascii="Times New Roman" w:eastAsia="ＭＳ Ｐゴシック" w:hAnsi="Times New Roman" w:cs="Times New Roman"/>
          <w:color w:val="000000" w:themeColor="text1"/>
          <w:sz w:val="24"/>
          <w:szCs w:val="24"/>
        </w:rPr>
      </w:pPr>
    </w:p>
    <w:p w14:paraId="4C0B13CA" w14:textId="77777777" w:rsidR="000F27AF" w:rsidRPr="000F27AF" w:rsidRDefault="000F27AF" w:rsidP="003876AC">
      <w:pPr>
        <w:spacing w:line="480" w:lineRule="exact"/>
        <w:contextualSpacing/>
        <w:rPr>
          <w:rFonts w:ascii="Times New Roman" w:eastAsia="ＭＳ Ｐゴシック" w:hAnsi="Times New Roman" w:cs="Times New Roman"/>
          <w:color w:val="000000" w:themeColor="text1"/>
          <w:sz w:val="24"/>
          <w:szCs w:val="24"/>
        </w:rPr>
      </w:pPr>
    </w:p>
    <w:bookmarkEnd w:id="0"/>
    <w:p w14:paraId="0BED730C" w14:textId="3F6977C2" w:rsidR="003876AC" w:rsidRPr="00DD18BC" w:rsidRDefault="00524F87" w:rsidP="00501339">
      <w:pPr>
        <w:widowControl/>
        <w:jc w:val="left"/>
        <w:rPr>
          <w:rFonts w:ascii="Times New Roman" w:hAnsi="Times New Roman" w:cs="Times New Roman"/>
          <w:b/>
          <w:bCs/>
          <w:sz w:val="24"/>
          <w:szCs w:val="24"/>
        </w:rPr>
      </w:pPr>
      <w:r w:rsidRPr="00DD18BC">
        <w:rPr>
          <w:rFonts w:ascii="Times New Roman" w:hAnsi="Times New Roman" w:cs="Times New Roman"/>
          <w:b/>
          <w:bCs/>
          <w:sz w:val="24"/>
          <w:szCs w:val="24"/>
        </w:rPr>
        <w:t>Supplementary Data</w:t>
      </w:r>
      <w:r>
        <w:rPr>
          <w:rFonts w:ascii="Times New Roman" w:hAnsi="Times New Roman" w:cs="Times New Roman"/>
          <w:b/>
          <w:bCs/>
          <w:sz w:val="24"/>
          <w:szCs w:val="24"/>
        </w:rPr>
        <w:t xml:space="preserve"> 2: </w:t>
      </w:r>
      <w:r w:rsidR="003876AC" w:rsidRPr="00DD18BC">
        <w:rPr>
          <w:rFonts w:ascii="Times New Roman" w:hAnsi="Times New Roman" w:cs="Times New Roman"/>
          <w:b/>
          <w:bCs/>
          <w:sz w:val="24"/>
          <w:szCs w:val="24"/>
        </w:rPr>
        <w:t>Diagnosis rate of IgG4-related TIN (2003-2008 and 2009-201</w:t>
      </w:r>
      <w:r w:rsidR="00957AD1">
        <w:rPr>
          <w:rFonts w:ascii="Times New Roman" w:hAnsi="Times New Roman" w:cs="Times New Roman"/>
          <w:b/>
          <w:bCs/>
          <w:sz w:val="24"/>
          <w:szCs w:val="24"/>
        </w:rPr>
        <w:t>5</w:t>
      </w:r>
      <w:r w:rsidR="003876AC" w:rsidRPr="00DD18BC">
        <w:rPr>
          <w:rFonts w:ascii="Times New Roman" w:hAnsi="Times New Roman" w:cs="Times New Roman"/>
          <w:b/>
          <w:bCs/>
          <w:sz w:val="24"/>
          <w:szCs w:val="24"/>
        </w:rPr>
        <w:t xml:space="preserve">) </w:t>
      </w:r>
    </w:p>
    <w:p w14:paraId="2F635107" w14:textId="21CBA2B0" w:rsidR="003876AC" w:rsidRPr="00DD18BC" w:rsidRDefault="003876AC" w:rsidP="003876AC">
      <w:pPr>
        <w:spacing w:line="480" w:lineRule="exact"/>
        <w:rPr>
          <w:rFonts w:ascii="Times New Roman" w:hAnsi="Times New Roman" w:cs="Times New Roman"/>
          <w:sz w:val="24"/>
          <w:szCs w:val="24"/>
        </w:rPr>
      </w:pPr>
      <w:r w:rsidRPr="00DD18BC">
        <w:rPr>
          <w:rFonts w:ascii="Times New Roman" w:hAnsi="Times New Roman" w:cs="Times New Roman"/>
          <w:sz w:val="24"/>
          <w:szCs w:val="24"/>
        </w:rPr>
        <w:t>We investigated the rate stratified by two periods (i.e., 2003-2008 and 2009-201</w:t>
      </w:r>
      <w:r w:rsidR="00957AD1">
        <w:rPr>
          <w:rFonts w:ascii="Times New Roman" w:hAnsi="Times New Roman" w:cs="Times New Roman"/>
          <w:sz w:val="24"/>
          <w:szCs w:val="24"/>
        </w:rPr>
        <w:t>5</w:t>
      </w:r>
      <w:r w:rsidRPr="00DD18BC">
        <w:rPr>
          <w:rFonts w:ascii="Times New Roman" w:hAnsi="Times New Roman" w:cs="Times New Roman"/>
          <w:sz w:val="24"/>
          <w:szCs w:val="24"/>
        </w:rPr>
        <w:t>) because the concept of the IgG4-RD was introduced around 2009 and its diagnosis criteria developed in 2011.</w:t>
      </w:r>
    </w:p>
    <w:p w14:paraId="10283FD4" w14:textId="7F9AB52A" w:rsidR="003876AC" w:rsidRPr="00DD18BC" w:rsidRDefault="003876AC" w:rsidP="00FB1263">
      <w:pPr>
        <w:spacing w:line="480" w:lineRule="exact"/>
        <w:ind w:firstLine="840"/>
        <w:rPr>
          <w:rFonts w:ascii="Times New Roman" w:hAnsi="Times New Roman" w:cs="Times New Roman"/>
          <w:sz w:val="24"/>
          <w:szCs w:val="24"/>
        </w:rPr>
      </w:pPr>
      <w:r w:rsidRPr="00DD18BC">
        <w:rPr>
          <w:rFonts w:ascii="Times New Roman" w:hAnsi="Times New Roman" w:cs="Times New Roman"/>
          <w:sz w:val="24"/>
          <w:szCs w:val="24"/>
        </w:rPr>
        <w:t xml:space="preserve">We calculated true positive </w:t>
      </w:r>
      <w:proofErr w:type="gramStart"/>
      <w:r w:rsidRPr="00DD18BC">
        <w:rPr>
          <w:rFonts w:ascii="Times New Roman" w:hAnsi="Times New Roman" w:cs="Times New Roman"/>
          <w:sz w:val="24"/>
          <w:szCs w:val="24"/>
        </w:rPr>
        <w:t>rates,</w:t>
      </w:r>
      <w:proofErr w:type="gramEnd"/>
      <w:r w:rsidRPr="00DD18BC">
        <w:rPr>
          <w:rFonts w:ascii="Times New Roman" w:hAnsi="Times New Roman" w:cs="Times New Roman"/>
          <w:sz w:val="24"/>
          <w:szCs w:val="24"/>
        </w:rPr>
        <w:t xml:space="preserve"> the percentage of actual positives correctly diagnosed with IgG4 related TIN at initial examination</w:t>
      </w:r>
      <w:r w:rsidR="005C4C8B">
        <w:rPr>
          <w:rFonts w:ascii="Times New Roman" w:hAnsi="Times New Roman" w:cs="Times New Roman"/>
          <w:sz w:val="24"/>
          <w:szCs w:val="24"/>
        </w:rPr>
        <w:t>.</w:t>
      </w:r>
      <w:r w:rsidRPr="00DD18BC">
        <w:rPr>
          <w:rFonts w:ascii="Times New Roman" w:hAnsi="Times New Roman" w:cs="Times New Roman"/>
          <w:sz w:val="24"/>
          <w:szCs w:val="24"/>
        </w:rPr>
        <w:t xml:space="preserve"> Additionally, we calculated a ratio of the true positive rate between 2003-2008 and 2009-201</w:t>
      </w:r>
      <w:r w:rsidR="00957AD1">
        <w:rPr>
          <w:rFonts w:ascii="Times New Roman" w:hAnsi="Times New Roman" w:cs="Times New Roman"/>
          <w:sz w:val="24"/>
          <w:szCs w:val="24"/>
        </w:rPr>
        <w:t>5</w:t>
      </w:r>
      <w:r w:rsidRPr="00DD18BC">
        <w:rPr>
          <w:rFonts w:ascii="Times New Roman" w:hAnsi="Times New Roman" w:cs="Times New Roman"/>
          <w:sz w:val="24"/>
          <w:szCs w:val="24"/>
        </w:rPr>
        <w:t xml:space="preserve"> using a zero-inflated negative binomial regression model by </w:t>
      </w:r>
      <w:proofErr w:type="spellStart"/>
      <w:r w:rsidRPr="00DD18BC">
        <w:rPr>
          <w:rFonts w:ascii="Times New Roman" w:hAnsi="Times New Roman" w:cs="Times New Roman"/>
          <w:sz w:val="24"/>
          <w:szCs w:val="24"/>
        </w:rPr>
        <w:t>pscl</w:t>
      </w:r>
      <w:proofErr w:type="spellEnd"/>
      <w:r w:rsidRPr="00DD18BC">
        <w:rPr>
          <w:rFonts w:ascii="Times New Roman" w:hAnsi="Times New Roman" w:cs="Times New Roman"/>
          <w:sz w:val="24"/>
          <w:szCs w:val="24"/>
        </w:rPr>
        <w:t xml:space="preserve"> package</w:t>
      </w:r>
      <w:r w:rsidR="00ED5340">
        <w:rPr>
          <w:rFonts w:ascii="Times New Roman" w:hAnsi="Times New Roman" w:cs="Times New Roman"/>
          <w:sz w:val="24"/>
          <w:szCs w:val="24"/>
        </w:rPr>
        <w:fldChar w:fldCharType="begin" w:fldLock="1"/>
      </w:r>
      <w:r w:rsidR="00515A03">
        <w:rPr>
          <w:rFonts w:ascii="Times New Roman" w:hAnsi="Times New Roman" w:cs="Times New Roman"/>
          <w:sz w:val="24"/>
          <w:szCs w:val="24"/>
        </w:rPr>
        <w:instrText>ADDIN CSL_CITATION {"citationItems":[{"id":"ITEM-1","itemData":{"author":[{"dropping-particle":"","family":"Jackman","given":"Simon","non-dropping-particle":"","parse-names":false,"suffix":""}],"id":"ITEM-1","issued":{"date-parts":[["2017"]]},"note":"R package version 1.5.2","publisher-place":"Sydney, New South Wales, Australia","title":"{pscl}: Classes and Methods for {R} Developed in the Political Science Computational Laboratory","type":"article"},"uris":["http://www.mendeley.com/documents/?uuid=edd12f03-21f0-4c4c-84ae-8e8c4b605b0f"]}],"mendeley":{"formattedCitation":"[3]","plainTextFormattedCitation":"[3]","previouslyFormattedCitation":"[3]"},"properties":{"noteIndex":0},"schema":"https://github.com/citation-style-language/schema/raw/master/csl-citation.json"}</w:instrText>
      </w:r>
      <w:r w:rsidR="00ED5340">
        <w:rPr>
          <w:rFonts w:ascii="Times New Roman" w:hAnsi="Times New Roman" w:cs="Times New Roman"/>
          <w:sz w:val="24"/>
          <w:szCs w:val="24"/>
        </w:rPr>
        <w:fldChar w:fldCharType="separate"/>
      </w:r>
      <w:r w:rsidR="003E28DD" w:rsidRPr="003E28DD">
        <w:rPr>
          <w:rFonts w:ascii="Times New Roman" w:hAnsi="Times New Roman" w:cs="Times New Roman"/>
          <w:noProof/>
          <w:sz w:val="24"/>
          <w:szCs w:val="24"/>
        </w:rPr>
        <w:t>[3]</w:t>
      </w:r>
      <w:r w:rsidR="00ED5340">
        <w:rPr>
          <w:rFonts w:ascii="Times New Roman" w:hAnsi="Times New Roman" w:cs="Times New Roman"/>
          <w:sz w:val="24"/>
          <w:szCs w:val="24"/>
        </w:rPr>
        <w:fldChar w:fldCharType="end"/>
      </w:r>
      <w:r w:rsidRPr="00DD18BC">
        <w:rPr>
          <w:rFonts w:ascii="Times New Roman" w:hAnsi="Times New Roman" w:cs="Times New Roman"/>
          <w:sz w:val="24"/>
          <w:szCs w:val="24"/>
        </w:rPr>
        <w:t xml:space="preserve"> of R statistical software</w:t>
      </w:r>
      <w:r>
        <w:rPr>
          <w:rFonts w:ascii="Times New Roman" w:hAnsi="Times New Roman" w:cs="Times New Roman"/>
          <w:sz w:val="24"/>
          <w:szCs w:val="24"/>
        </w:rPr>
        <w:t xml:space="preserve">. </w:t>
      </w:r>
      <w:r w:rsidR="00ED5340">
        <w:rPr>
          <w:rFonts w:ascii="Times New Roman" w:hAnsi="Times New Roman" w:cs="Times New Roman"/>
          <w:sz w:val="24"/>
          <w:szCs w:val="24"/>
        </w:rPr>
        <w:fldChar w:fldCharType="begin" w:fldLock="1"/>
      </w:r>
      <w:r w:rsidR="00515A03">
        <w:rPr>
          <w:rFonts w:ascii="Times New Roman" w:hAnsi="Times New Roman" w:cs="Times New Roman"/>
          <w:sz w:val="24"/>
          <w:szCs w:val="24"/>
        </w:rPr>
        <w:instrText>ADDIN CSL_CITATION {"citationItems":[{"id":"ITEM-1","itemData":{"author":[{"dropping-particle":"","family":"Zeileis","given":"Achim","non-dropping-particle":"","parse-names":false,"suffix":""},{"dropping-particle":"","family":"Kleiber","given":"Christian","non-dropping-particle":"","parse-names":false,"suffix":""},{"dropping-particle":"","family":"Jackman","given":"Simon","non-dropping-particle":"","parse-names":false,"suffix":""}],"container-title":"Journal of Statistical Software","id":"ITEM-1","issue":"8","issued":{"date-parts":[["2008"]]},"title":"Regression Models for Count Data in {R}","type":"article-journal","volume":"27"},"uris":["http://www.mendeley.com/documents/?uuid=30a9f676-c30e-4e00-afe7-56d17e355220"]}],"mendeley":{"formattedCitation":"[4]","plainTextFormattedCitation":"[4]","previouslyFormattedCitation":"[4]"},"properties":{"noteIndex":0},"schema":"https://github.com/citation-style-language/schema/raw/master/csl-citation.json"}</w:instrText>
      </w:r>
      <w:r w:rsidR="00ED5340">
        <w:rPr>
          <w:rFonts w:ascii="Times New Roman" w:hAnsi="Times New Roman" w:cs="Times New Roman"/>
          <w:sz w:val="24"/>
          <w:szCs w:val="24"/>
        </w:rPr>
        <w:fldChar w:fldCharType="separate"/>
      </w:r>
      <w:r w:rsidR="003E28DD" w:rsidRPr="003E28DD">
        <w:rPr>
          <w:rFonts w:ascii="Times New Roman" w:hAnsi="Times New Roman" w:cs="Times New Roman"/>
          <w:noProof/>
          <w:sz w:val="24"/>
          <w:szCs w:val="24"/>
        </w:rPr>
        <w:t>[4]</w:t>
      </w:r>
      <w:r w:rsidR="00ED5340">
        <w:rPr>
          <w:rFonts w:ascii="Times New Roman" w:hAnsi="Times New Roman" w:cs="Times New Roman"/>
          <w:sz w:val="24"/>
          <w:szCs w:val="24"/>
        </w:rPr>
        <w:fldChar w:fldCharType="end"/>
      </w:r>
    </w:p>
    <w:p w14:paraId="73256A06" w14:textId="0237C17E" w:rsidR="003876AC" w:rsidRPr="00DD18BC" w:rsidRDefault="003876AC" w:rsidP="003876AC">
      <w:pPr>
        <w:spacing w:line="480" w:lineRule="exact"/>
        <w:rPr>
          <w:rFonts w:ascii="Times New Roman" w:hAnsi="Times New Roman" w:cs="Times New Roman"/>
          <w:sz w:val="24"/>
          <w:szCs w:val="24"/>
        </w:rPr>
      </w:pPr>
      <w:r w:rsidRPr="00DD18BC">
        <w:rPr>
          <w:rFonts w:ascii="Times New Roman" w:hAnsi="Times New Roman" w:cs="Times New Roman"/>
          <w:sz w:val="24"/>
          <w:szCs w:val="24"/>
        </w:rPr>
        <w:tab/>
        <w:t xml:space="preserve">Of the total 2874 renal biopsies from 2003 to 2008, 7 patients were diagnosed </w:t>
      </w:r>
      <w:r w:rsidRPr="00DD18BC">
        <w:rPr>
          <w:rFonts w:ascii="Times New Roman" w:hAnsi="Times New Roman" w:cs="Times New Roman"/>
          <w:sz w:val="24"/>
          <w:szCs w:val="24"/>
        </w:rPr>
        <w:lastRenderedPageBreak/>
        <w:t>with IgG4-related TIN during this study</w:t>
      </w:r>
      <w:r w:rsidR="00135F54">
        <w:rPr>
          <w:rFonts w:ascii="Times New Roman" w:hAnsi="Times New Roman" w:cs="Times New Roman"/>
          <w:sz w:val="24"/>
          <w:szCs w:val="24"/>
        </w:rPr>
        <w:t>;</w:t>
      </w:r>
      <w:r w:rsidRPr="00DD18BC">
        <w:rPr>
          <w:rFonts w:ascii="Times New Roman" w:hAnsi="Times New Roman" w:cs="Times New Roman"/>
          <w:sz w:val="24"/>
          <w:szCs w:val="24"/>
        </w:rPr>
        <w:t xml:space="preserve"> however, of the 7 patients with IgG4-related TIN, only 1 patient had been diagnosed with IgG4-related TIN at the time of initial examination, meaning its true positive rate was 14.3%. The remaining 6 patients were diagnosed by TIN </w:t>
      </w:r>
      <w:r w:rsidR="00107F86">
        <w:rPr>
          <w:rFonts w:ascii="Times New Roman" w:hAnsi="Times New Roman" w:cs="Times New Roman"/>
          <w:sz w:val="24"/>
          <w:szCs w:val="24"/>
        </w:rPr>
        <w:t>of</w:t>
      </w:r>
      <w:r w:rsidRPr="00DD18BC">
        <w:rPr>
          <w:rFonts w:ascii="Times New Roman" w:hAnsi="Times New Roman" w:cs="Times New Roman"/>
          <w:sz w:val="24"/>
          <w:szCs w:val="24"/>
        </w:rPr>
        <w:t xml:space="preserve"> </w:t>
      </w:r>
      <w:proofErr w:type="spellStart"/>
      <w:r w:rsidRPr="00DD18BC">
        <w:rPr>
          <w:rFonts w:ascii="Times New Roman" w:hAnsi="Times New Roman" w:cs="Times New Roman"/>
          <w:sz w:val="24"/>
          <w:szCs w:val="24"/>
        </w:rPr>
        <w:t>Sjögren's</w:t>
      </w:r>
      <w:proofErr w:type="spellEnd"/>
      <w:r w:rsidRPr="00DD18BC">
        <w:rPr>
          <w:rFonts w:ascii="Times New Roman" w:hAnsi="Times New Roman" w:cs="Times New Roman"/>
          <w:sz w:val="24"/>
          <w:szCs w:val="24"/>
        </w:rPr>
        <w:t xml:space="preserve"> syndrome (n=</w:t>
      </w:r>
      <w:r w:rsidR="00107F86">
        <w:rPr>
          <w:rFonts w:ascii="Times New Roman" w:hAnsi="Times New Roman" w:cs="Times New Roman"/>
          <w:sz w:val="24"/>
          <w:szCs w:val="24"/>
        </w:rPr>
        <w:t>2</w:t>
      </w:r>
      <w:r w:rsidRPr="00DD18BC">
        <w:rPr>
          <w:rFonts w:ascii="Times New Roman" w:hAnsi="Times New Roman" w:cs="Times New Roman"/>
          <w:sz w:val="24"/>
          <w:szCs w:val="24"/>
        </w:rPr>
        <w:t xml:space="preserve">), </w:t>
      </w:r>
      <w:r w:rsidR="00107F86" w:rsidRPr="00107F86">
        <w:rPr>
          <w:rFonts w:ascii="Times New Roman" w:hAnsi="Times New Roman" w:cs="Times New Roman"/>
          <w:sz w:val="24"/>
          <w:szCs w:val="24"/>
        </w:rPr>
        <w:t>TIN associated with immune disorder</w:t>
      </w:r>
      <w:r w:rsidRPr="00DD18BC">
        <w:rPr>
          <w:rFonts w:ascii="Times New Roman" w:hAnsi="Times New Roman" w:cs="Times New Roman"/>
          <w:sz w:val="24"/>
          <w:szCs w:val="24"/>
        </w:rPr>
        <w:t xml:space="preserve"> (n=</w:t>
      </w:r>
      <w:r w:rsidR="00107F86">
        <w:rPr>
          <w:rFonts w:ascii="Times New Roman" w:hAnsi="Times New Roman" w:cs="Times New Roman"/>
          <w:sz w:val="24"/>
          <w:szCs w:val="24"/>
        </w:rPr>
        <w:t>2</w:t>
      </w:r>
      <w:r w:rsidRPr="00DD18BC">
        <w:rPr>
          <w:rFonts w:ascii="Times New Roman" w:hAnsi="Times New Roman" w:cs="Times New Roman"/>
          <w:sz w:val="24"/>
          <w:szCs w:val="24"/>
        </w:rPr>
        <w:t>)</w:t>
      </w:r>
      <w:r w:rsidR="00107F86">
        <w:rPr>
          <w:rFonts w:ascii="Times New Roman" w:hAnsi="Times New Roman" w:cs="Times New Roman"/>
          <w:sz w:val="24"/>
          <w:szCs w:val="24"/>
        </w:rPr>
        <w:t>,</w:t>
      </w:r>
      <w:r w:rsidRPr="00DD18BC">
        <w:rPr>
          <w:rFonts w:ascii="Times New Roman" w:hAnsi="Times New Roman" w:cs="Times New Roman"/>
          <w:sz w:val="24"/>
          <w:szCs w:val="24"/>
        </w:rPr>
        <w:t xml:space="preserve"> </w:t>
      </w:r>
      <w:r w:rsidR="00107F86" w:rsidRPr="00107F86">
        <w:rPr>
          <w:rFonts w:ascii="Times New Roman" w:hAnsi="Times New Roman" w:cs="Times New Roman"/>
          <w:sz w:val="24"/>
          <w:szCs w:val="24"/>
        </w:rPr>
        <w:t>TIN with immune complexes</w:t>
      </w:r>
      <w:r w:rsidR="00107F86">
        <w:rPr>
          <w:rFonts w:ascii="Times New Roman" w:hAnsi="Times New Roman" w:cs="Times New Roman"/>
          <w:sz w:val="24"/>
          <w:szCs w:val="24"/>
        </w:rPr>
        <w:t xml:space="preserve"> </w:t>
      </w:r>
      <w:r w:rsidR="00107F86" w:rsidRPr="00DD18BC">
        <w:rPr>
          <w:rFonts w:ascii="Times New Roman" w:hAnsi="Times New Roman" w:cs="Times New Roman"/>
          <w:sz w:val="24"/>
          <w:szCs w:val="24"/>
        </w:rPr>
        <w:t>(n=1)</w:t>
      </w:r>
      <w:r w:rsidR="00107F86">
        <w:rPr>
          <w:rFonts w:ascii="Times New Roman" w:hAnsi="Times New Roman" w:cs="Times New Roman"/>
          <w:sz w:val="24"/>
          <w:szCs w:val="24"/>
        </w:rPr>
        <w:t xml:space="preserve">, </w:t>
      </w:r>
      <w:r w:rsidRPr="00DD18BC">
        <w:rPr>
          <w:rFonts w:ascii="Times New Roman" w:hAnsi="Times New Roman" w:cs="Times New Roman"/>
          <w:sz w:val="24"/>
          <w:szCs w:val="24"/>
        </w:rPr>
        <w:t>and low-grade lymphoma (n=1) at the time of initial examination before it became a recognized entity. On the other hand, of the total 4103 renal biopsies from 2009 to 201</w:t>
      </w:r>
      <w:r w:rsidR="00957AD1">
        <w:rPr>
          <w:rFonts w:ascii="Times New Roman" w:hAnsi="Times New Roman" w:cs="Times New Roman"/>
          <w:sz w:val="24"/>
          <w:szCs w:val="24"/>
        </w:rPr>
        <w:t>5</w:t>
      </w:r>
      <w:r w:rsidRPr="00DD18BC">
        <w:rPr>
          <w:rFonts w:ascii="Times New Roman" w:hAnsi="Times New Roman" w:cs="Times New Roman"/>
          <w:sz w:val="24"/>
          <w:szCs w:val="24"/>
        </w:rPr>
        <w:t>, 17 patients were diagnosed with IgG4-related TIN during this study, and all 17 patients had been diagnosed with IgG4-related TIN at the time of initial examination, meaning its true positive rate was 100%. The true positive rate significantly increased in 2009-201</w:t>
      </w:r>
      <w:r w:rsidR="00957AD1">
        <w:rPr>
          <w:rFonts w:ascii="Times New Roman" w:hAnsi="Times New Roman" w:cs="Times New Roman"/>
          <w:sz w:val="24"/>
          <w:szCs w:val="24"/>
        </w:rPr>
        <w:t>5</w:t>
      </w:r>
      <w:r w:rsidRPr="00DD18BC">
        <w:rPr>
          <w:rFonts w:ascii="Times New Roman" w:hAnsi="Times New Roman" w:cs="Times New Roman"/>
          <w:sz w:val="24"/>
          <w:szCs w:val="24"/>
        </w:rPr>
        <w:t xml:space="preserve"> compared to 2003-2008 (ratio of the true positive rate: 9.16, P=0.034).</w:t>
      </w:r>
    </w:p>
    <w:p w14:paraId="7D61695A" w14:textId="77777777" w:rsidR="003876AC" w:rsidRPr="00DD18BC" w:rsidRDefault="003876AC" w:rsidP="003876AC">
      <w:pPr>
        <w:spacing w:line="480" w:lineRule="exact"/>
        <w:rPr>
          <w:rFonts w:ascii="Times New Roman" w:hAnsi="Times New Roman" w:cs="Times New Roman"/>
          <w:sz w:val="24"/>
          <w:szCs w:val="24"/>
        </w:rPr>
      </w:pPr>
      <w:r w:rsidRPr="00DD18BC">
        <w:rPr>
          <w:rFonts w:ascii="Times New Roman" w:hAnsi="Times New Roman" w:cs="Times New Roman"/>
          <w:sz w:val="24"/>
          <w:szCs w:val="24"/>
        </w:rPr>
        <w:tab/>
      </w:r>
    </w:p>
    <w:p w14:paraId="1D13A798" w14:textId="77777777" w:rsidR="003876AC" w:rsidRPr="00DD18BC" w:rsidRDefault="003876AC" w:rsidP="00E24606">
      <w:pPr>
        <w:spacing w:line="480" w:lineRule="exact"/>
        <w:rPr>
          <w:rFonts w:ascii="Times New Roman" w:hAnsi="Times New Roman" w:cs="Times New Roman"/>
          <w:sz w:val="24"/>
          <w:szCs w:val="24"/>
        </w:rPr>
      </w:pPr>
      <w:r w:rsidRPr="00DD18BC">
        <w:rPr>
          <w:rFonts w:ascii="Times New Roman" w:hAnsi="Times New Roman" w:cs="Times New Roman"/>
          <w:sz w:val="24"/>
          <w:szCs w:val="24"/>
        </w:rPr>
        <w:t>Supplementary References</w:t>
      </w:r>
    </w:p>
    <w:p w14:paraId="60DC7FBA" w14:textId="2ACE3A9F" w:rsidR="00515A03" w:rsidRPr="00515A03" w:rsidRDefault="00ED5340" w:rsidP="00E24606">
      <w:pPr>
        <w:autoSpaceDE w:val="0"/>
        <w:autoSpaceDN w:val="0"/>
        <w:adjustRightInd w:val="0"/>
        <w:spacing w:line="480" w:lineRule="exact"/>
        <w:jc w:val="left"/>
        <w:rPr>
          <w:rFonts w:ascii="Times New Roman" w:hAnsi="Times New Roman" w:cs="Times New Roman"/>
          <w:noProof/>
          <w:kern w:val="0"/>
          <w:sz w:val="24"/>
          <w:szCs w:val="24"/>
        </w:rPr>
      </w:pPr>
      <w:r>
        <w:rPr>
          <w:rFonts w:ascii="Times New Roman" w:hAnsi="Times New Roman" w:cs="Times New Roman"/>
          <w:noProof/>
          <w:kern w:val="0"/>
          <w:sz w:val="24"/>
          <w:szCs w:val="24"/>
        </w:rPr>
        <w:fldChar w:fldCharType="begin" w:fldLock="1"/>
      </w:r>
      <w:r>
        <w:rPr>
          <w:rFonts w:ascii="Times New Roman" w:hAnsi="Times New Roman" w:cs="Times New Roman"/>
          <w:noProof/>
          <w:kern w:val="0"/>
          <w:sz w:val="24"/>
          <w:szCs w:val="24"/>
        </w:rPr>
        <w:instrText xml:space="preserve">ADDIN Mendeley Bibliography CSL_BIBLIOGRAPHY </w:instrText>
      </w:r>
      <w:r>
        <w:rPr>
          <w:rFonts w:ascii="Times New Roman" w:hAnsi="Times New Roman" w:cs="Times New Roman"/>
          <w:noProof/>
          <w:kern w:val="0"/>
          <w:sz w:val="24"/>
          <w:szCs w:val="24"/>
        </w:rPr>
        <w:fldChar w:fldCharType="separate"/>
      </w:r>
      <w:r w:rsidR="00515A03" w:rsidRPr="00515A03">
        <w:rPr>
          <w:rFonts w:ascii="Times New Roman" w:hAnsi="Times New Roman" w:cs="Times New Roman"/>
          <w:noProof/>
          <w:kern w:val="0"/>
          <w:sz w:val="24"/>
          <w:szCs w:val="24"/>
        </w:rPr>
        <w:t xml:space="preserve">1. Sugiyama H, Yokoyama H, Sato H, Saito T, Kohda Y, Shinichi •, et al. Japan Renal Biopsy Registry: the first nationwide, web-based, and prospective registry system of renal biopsies in Japan. Clin Exp Nephrol. 2011;15:493–503. </w:t>
      </w:r>
    </w:p>
    <w:p w14:paraId="061CE1BC" w14:textId="77777777" w:rsidR="00515A03" w:rsidRPr="00515A03" w:rsidRDefault="00515A03" w:rsidP="00E24606">
      <w:pPr>
        <w:autoSpaceDE w:val="0"/>
        <w:autoSpaceDN w:val="0"/>
        <w:adjustRightInd w:val="0"/>
        <w:spacing w:line="480" w:lineRule="exact"/>
        <w:jc w:val="left"/>
        <w:rPr>
          <w:rFonts w:ascii="Times New Roman" w:hAnsi="Times New Roman" w:cs="Times New Roman"/>
          <w:noProof/>
          <w:kern w:val="0"/>
          <w:sz w:val="24"/>
          <w:szCs w:val="24"/>
        </w:rPr>
      </w:pPr>
      <w:r w:rsidRPr="00515A03">
        <w:rPr>
          <w:rFonts w:ascii="Times New Roman" w:hAnsi="Times New Roman" w:cs="Times New Roman"/>
          <w:noProof/>
          <w:kern w:val="0"/>
          <w:sz w:val="24"/>
          <w:szCs w:val="24"/>
        </w:rPr>
        <w:t xml:space="preserve">2. Nakashima H, Kawano M, Saeki T, Ubara Y, Hisano S, Nagata M, et al. Estimation of the number of histological diagnosis for IgG4-related kidney disease referred to the data obtained from the Japan Renal Biopsy Registry (J-RBR) questionnaire and cases reported in the Japanese Society of Nephrology Meetings. Clin Exp Nephrol. Springer Japan; 2017;21:97–103. </w:t>
      </w:r>
    </w:p>
    <w:p w14:paraId="1D0C90A3" w14:textId="35B66FED" w:rsidR="00515A03" w:rsidRPr="00515A03" w:rsidRDefault="00515A03" w:rsidP="00E24606">
      <w:pPr>
        <w:autoSpaceDE w:val="0"/>
        <w:autoSpaceDN w:val="0"/>
        <w:adjustRightInd w:val="0"/>
        <w:spacing w:line="480" w:lineRule="exact"/>
        <w:jc w:val="left"/>
        <w:rPr>
          <w:rFonts w:ascii="Times New Roman" w:hAnsi="Times New Roman" w:cs="Times New Roman"/>
          <w:noProof/>
          <w:kern w:val="0"/>
          <w:sz w:val="24"/>
          <w:szCs w:val="24"/>
        </w:rPr>
      </w:pPr>
      <w:r w:rsidRPr="00515A03">
        <w:rPr>
          <w:rFonts w:ascii="Times New Roman" w:hAnsi="Times New Roman" w:cs="Times New Roman"/>
          <w:noProof/>
          <w:kern w:val="0"/>
          <w:sz w:val="24"/>
          <w:szCs w:val="24"/>
        </w:rPr>
        <w:t xml:space="preserve">3. Jackman S. {pscl}: Classes and Methods for {R} Developed in the Political Science Computational Laboratory. Sydney, New South Wales, Australia; 2017. </w:t>
      </w:r>
    </w:p>
    <w:p w14:paraId="06157E8E" w14:textId="36BC6A92" w:rsidR="00515A03" w:rsidRPr="00515A03" w:rsidRDefault="00515A03" w:rsidP="00E24606">
      <w:pPr>
        <w:autoSpaceDE w:val="0"/>
        <w:autoSpaceDN w:val="0"/>
        <w:adjustRightInd w:val="0"/>
        <w:spacing w:line="480" w:lineRule="exact"/>
        <w:jc w:val="left"/>
        <w:rPr>
          <w:rFonts w:ascii="Times New Roman" w:hAnsi="Times New Roman" w:cs="Times New Roman"/>
          <w:noProof/>
          <w:sz w:val="24"/>
        </w:rPr>
      </w:pPr>
      <w:r w:rsidRPr="00515A03">
        <w:rPr>
          <w:rFonts w:ascii="Times New Roman" w:hAnsi="Times New Roman" w:cs="Times New Roman"/>
          <w:noProof/>
          <w:kern w:val="0"/>
          <w:sz w:val="24"/>
          <w:szCs w:val="24"/>
        </w:rPr>
        <w:t xml:space="preserve">4. Zeileis A, Kleiber C, Jackman S. Regression Models for Count Data in {R}. J Stat Softw. 2008;27. </w:t>
      </w:r>
    </w:p>
    <w:p w14:paraId="5F8B4E64" w14:textId="45509D3B" w:rsidR="00ED5340" w:rsidRDefault="00ED5340" w:rsidP="00E24606">
      <w:pPr>
        <w:autoSpaceDE w:val="0"/>
        <w:autoSpaceDN w:val="0"/>
        <w:adjustRightInd w:val="0"/>
        <w:spacing w:line="480" w:lineRule="exact"/>
        <w:ind w:left="640" w:hanging="640"/>
        <w:jc w:val="left"/>
        <w:rPr>
          <w:rFonts w:ascii="Times New Roman" w:hAnsi="Times New Roman" w:cs="Times New Roman"/>
        </w:rPr>
        <w:sectPr w:rsidR="00ED5340">
          <w:footerReference w:type="default" r:id="rId11"/>
          <w:pgSz w:w="11906" w:h="16838"/>
          <w:pgMar w:top="1985" w:right="1701" w:bottom="1701" w:left="1701" w:header="851" w:footer="992" w:gutter="0"/>
          <w:cols w:space="425"/>
          <w:docGrid w:type="lines" w:linePitch="360"/>
        </w:sectPr>
      </w:pPr>
      <w:r>
        <w:rPr>
          <w:rFonts w:ascii="Times New Roman" w:hAnsi="Times New Roman" w:cs="Times New Roman"/>
          <w:noProof/>
          <w:kern w:val="0"/>
          <w:sz w:val="24"/>
          <w:szCs w:val="24"/>
        </w:rPr>
        <w:fldChar w:fldCharType="end"/>
      </w:r>
    </w:p>
    <w:p w14:paraId="7E4B45B7" w14:textId="77F8C033" w:rsidR="003876AC" w:rsidRPr="00C44CCD" w:rsidRDefault="003876AC" w:rsidP="003876AC">
      <w:pPr>
        <w:rPr>
          <w:rFonts w:ascii="Times New Roman" w:hAnsi="Times New Roman" w:cs="Times New Roman"/>
          <w:sz w:val="20"/>
          <w:szCs w:val="20"/>
        </w:rPr>
      </w:pPr>
      <w:r w:rsidRPr="00C44CCD">
        <w:rPr>
          <w:rFonts w:ascii="Times New Roman" w:hAnsi="Times New Roman" w:cs="Times New Roman"/>
          <w:b/>
          <w:bCs/>
          <w:sz w:val="20"/>
          <w:szCs w:val="20"/>
        </w:rPr>
        <w:lastRenderedPageBreak/>
        <w:t>T</w:t>
      </w:r>
      <w:r w:rsidR="007E4D44" w:rsidRPr="00C44CCD">
        <w:rPr>
          <w:rFonts w:ascii="Times New Roman" w:hAnsi="Times New Roman" w:cs="Times New Roman"/>
          <w:b/>
          <w:bCs/>
          <w:sz w:val="20"/>
          <w:szCs w:val="20"/>
        </w:rPr>
        <w:t>able</w:t>
      </w:r>
      <w:r w:rsidRPr="00C44CCD">
        <w:rPr>
          <w:rFonts w:ascii="Times New Roman" w:hAnsi="Times New Roman" w:cs="Times New Roman"/>
          <w:b/>
          <w:bCs/>
          <w:sz w:val="20"/>
          <w:szCs w:val="20"/>
        </w:rPr>
        <w:t xml:space="preserve"> S1. Baseline characteristics of the present patients </w:t>
      </w:r>
      <w:r w:rsidRPr="00C44CCD">
        <w:rPr>
          <w:rFonts w:ascii="Times New Roman" w:hAnsi="Times New Roman" w:cs="Times New Roman" w:hint="eastAsia"/>
          <w:b/>
          <w:bCs/>
          <w:sz w:val="20"/>
          <w:szCs w:val="20"/>
        </w:rPr>
        <w:t>b</w:t>
      </w:r>
      <w:r w:rsidRPr="00C44CCD">
        <w:rPr>
          <w:rFonts w:ascii="Times New Roman" w:hAnsi="Times New Roman" w:cs="Times New Roman"/>
          <w:b/>
          <w:bCs/>
          <w:sz w:val="20"/>
          <w:szCs w:val="20"/>
        </w:rPr>
        <w:t xml:space="preserve">y diagnosis </w:t>
      </w:r>
      <w:r w:rsidR="005C4C8B" w:rsidRPr="00C44CCD">
        <w:rPr>
          <w:rFonts w:ascii="Times New Roman" w:hAnsi="Times New Roman" w:cs="Times New Roman"/>
          <w:b/>
          <w:bCs/>
          <w:sz w:val="20"/>
          <w:szCs w:val="20"/>
        </w:rPr>
        <w:t xml:space="preserve">or non-diagnosis </w:t>
      </w:r>
      <w:r w:rsidRPr="00C44CCD">
        <w:rPr>
          <w:rFonts w:ascii="Times New Roman" w:hAnsi="Times New Roman" w:cs="Times New Roman"/>
          <w:b/>
          <w:bCs/>
          <w:sz w:val="20"/>
          <w:szCs w:val="20"/>
        </w:rPr>
        <w:t>of IgG4-related TIN at initial examination</w:t>
      </w:r>
      <w:r w:rsidR="005C4C8B" w:rsidRPr="00C44CCD">
        <w:rPr>
          <w:rFonts w:ascii="Times New Roman" w:hAnsi="Times New Roman" w:cs="Times New Roman"/>
          <w:b/>
          <w:bCs/>
          <w:sz w:val="20"/>
          <w:szCs w:val="20"/>
        </w:rPr>
        <w:t xml:space="preserve"> </w:t>
      </w:r>
      <w:r w:rsidRPr="00C44CCD">
        <w:rPr>
          <w:rFonts w:ascii="Times New Roman" w:hAnsi="Times New Roman" w:cs="Times New Roman"/>
          <w:b/>
          <w:bCs/>
          <w:sz w:val="20"/>
          <w:szCs w:val="20"/>
          <w:vertAlign w:val="superscript"/>
        </w:rPr>
        <w:t>a</w:t>
      </w:r>
      <w:r w:rsidRPr="00C44CCD">
        <w:rPr>
          <w:rFonts w:ascii="Times New Roman" w:hAnsi="Times New Roman" w:cs="Times New Roman"/>
          <w:b/>
          <w:bCs/>
          <w:sz w:val="20"/>
          <w:szCs w:val="20"/>
        </w:rPr>
        <w:t xml:space="preserve"> </w:t>
      </w:r>
    </w:p>
    <w:tbl>
      <w:tblPr>
        <w:tblW w:w="8900" w:type="dxa"/>
        <w:tblCellMar>
          <w:left w:w="99" w:type="dxa"/>
          <w:right w:w="99" w:type="dxa"/>
        </w:tblCellMar>
        <w:tblLook w:val="04A0" w:firstRow="1" w:lastRow="0" w:firstColumn="1" w:lastColumn="0" w:noHBand="0" w:noVBand="1"/>
      </w:tblPr>
      <w:tblGrid>
        <w:gridCol w:w="3402"/>
        <w:gridCol w:w="2694"/>
        <w:gridCol w:w="2804"/>
      </w:tblGrid>
      <w:tr w:rsidR="003876AC" w:rsidRPr="00C44CCD" w14:paraId="5FDDF585" w14:textId="77777777" w:rsidTr="008734C8">
        <w:trPr>
          <w:trHeight w:val="360"/>
        </w:trPr>
        <w:tc>
          <w:tcPr>
            <w:tcW w:w="3402" w:type="dxa"/>
            <w:tcBorders>
              <w:top w:val="single" w:sz="4" w:space="0" w:color="auto"/>
            </w:tcBorders>
            <w:shd w:val="clear" w:color="000000" w:fill="FFFFFF"/>
            <w:noWrap/>
            <w:vAlign w:val="center"/>
            <w:hideMark/>
          </w:tcPr>
          <w:p w14:paraId="28BE7332" w14:textId="77777777" w:rsidR="003876AC" w:rsidRPr="00C44CCD" w:rsidRDefault="003876AC" w:rsidP="00B37499">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w:t>
            </w:r>
          </w:p>
        </w:tc>
        <w:tc>
          <w:tcPr>
            <w:tcW w:w="2694" w:type="dxa"/>
            <w:tcBorders>
              <w:top w:val="single" w:sz="4" w:space="0" w:color="auto"/>
            </w:tcBorders>
            <w:shd w:val="clear" w:color="000000" w:fill="FFFFFF"/>
            <w:noWrap/>
            <w:vAlign w:val="center"/>
            <w:hideMark/>
          </w:tcPr>
          <w:p w14:paraId="2D56066E" w14:textId="77777777" w:rsidR="003876AC" w:rsidRPr="00C44CCD" w:rsidRDefault="003876AC" w:rsidP="00B37499">
            <w:pPr>
              <w:widowControl/>
              <w:jc w:val="center"/>
              <w:rPr>
                <w:rFonts w:ascii="Times New Roman" w:eastAsia="游ゴシック" w:hAnsi="Times New Roman" w:cs="Times New Roman"/>
                <w:b/>
                <w:bCs/>
                <w:color w:val="000000" w:themeColor="text1"/>
                <w:kern w:val="0"/>
                <w:sz w:val="20"/>
                <w:szCs w:val="20"/>
              </w:rPr>
            </w:pPr>
            <w:r w:rsidRPr="00C44CCD">
              <w:rPr>
                <w:rFonts w:ascii="Times New Roman" w:eastAsia="游ゴシック" w:hAnsi="Times New Roman" w:cs="Times New Roman"/>
                <w:b/>
                <w:bCs/>
                <w:color w:val="000000" w:themeColor="text1"/>
                <w:kern w:val="0"/>
                <w:sz w:val="20"/>
                <w:szCs w:val="20"/>
              </w:rPr>
              <w:t>non-diagnosed cases</w:t>
            </w:r>
          </w:p>
        </w:tc>
        <w:tc>
          <w:tcPr>
            <w:tcW w:w="2804" w:type="dxa"/>
            <w:tcBorders>
              <w:top w:val="single" w:sz="4" w:space="0" w:color="auto"/>
            </w:tcBorders>
            <w:shd w:val="clear" w:color="000000" w:fill="FFFFFF"/>
            <w:noWrap/>
            <w:vAlign w:val="center"/>
            <w:hideMark/>
          </w:tcPr>
          <w:p w14:paraId="58416574" w14:textId="77777777" w:rsidR="003876AC" w:rsidRPr="00C44CCD" w:rsidRDefault="003876AC" w:rsidP="00B37499">
            <w:pPr>
              <w:widowControl/>
              <w:jc w:val="center"/>
              <w:rPr>
                <w:rFonts w:ascii="Times New Roman" w:eastAsia="游ゴシック" w:hAnsi="Times New Roman" w:cs="Times New Roman"/>
                <w:b/>
                <w:bCs/>
                <w:color w:val="000000" w:themeColor="text1"/>
                <w:kern w:val="0"/>
                <w:sz w:val="20"/>
                <w:szCs w:val="20"/>
              </w:rPr>
            </w:pPr>
            <w:r w:rsidRPr="00C44CCD">
              <w:rPr>
                <w:rFonts w:ascii="Times New Roman" w:eastAsia="游ゴシック" w:hAnsi="Times New Roman" w:cs="Times New Roman"/>
                <w:b/>
                <w:bCs/>
                <w:color w:val="000000" w:themeColor="text1"/>
                <w:kern w:val="0"/>
                <w:sz w:val="20"/>
                <w:szCs w:val="20"/>
              </w:rPr>
              <w:t>diagnosed cases</w:t>
            </w:r>
          </w:p>
        </w:tc>
      </w:tr>
      <w:tr w:rsidR="003876AC" w:rsidRPr="00C44CCD" w14:paraId="475BACAE" w14:textId="77777777" w:rsidTr="008734C8">
        <w:trPr>
          <w:trHeight w:val="360"/>
        </w:trPr>
        <w:tc>
          <w:tcPr>
            <w:tcW w:w="3402" w:type="dxa"/>
            <w:tcBorders>
              <w:bottom w:val="single" w:sz="4" w:space="0" w:color="auto"/>
            </w:tcBorders>
            <w:shd w:val="clear" w:color="000000" w:fill="FFFFFF"/>
            <w:noWrap/>
            <w:vAlign w:val="center"/>
            <w:hideMark/>
          </w:tcPr>
          <w:p w14:paraId="6120DC1C" w14:textId="77777777" w:rsidR="003876AC" w:rsidRPr="00C44CCD" w:rsidRDefault="003876AC" w:rsidP="00B37499">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n (%)</w:t>
            </w:r>
          </w:p>
        </w:tc>
        <w:tc>
          <w:tcPr>
            <w:tcW w:w="2694" w:type="dxa"/>
            <w:tcBorders>
              <w:bottom w:val="single" w:sz="4" w:space="0" w:color="auto"/>
            </w:tcBorders>
            <w:shd w:val="clear" w:color="000000" w:fill="FFFFFF"/>
            <w:noWrap/>
            <w:vAlign w:val="center"/>
            <w:hideMark/>
          </w:tcPr>
          <w:p w14:paraId="44A9147C" w14:textId="77777777" w:rsidR="003876AC" w:rsidRPr="00C44CCD" w:rsidRDefault="003876AC" w:rsidP="00B37499">
            <w:pPr>
              <w:widowControl/>
              <w:jc w:val="center"/>
              <w:rPr>
                <w:rFonts w:ascii="Times New Roman" w:eastAsia="游ゴシック" w:hAnsi="Times New Roman" w:cs="Times New Roman"/>
                <w:color w:val="000000"/>
                <w:kern w:val="0"/>
                <w:sz w:val="20"/>
                <w:szCs w:val="20"/>
                <w:highlight w:val="yellow"/>
              </w:rPr>
            </w:pPr>
            <w:r w:rsidRPr="00C44CCD">
              <w:rPr>
                <w:rFonts w:ascii="Times New Roman" w:eastAsia="游ゴシック" w:hAnsi="Times New Roman" w:cs="Times New Roman"/>
                <w:color w:val="000000"/>
                <w:kern w:val="0"/>
                <w:sz w:val="20"/>
                <w:szCs w:val="20"/>
              </w:rPr>
              <w:t>6 (25.0)</w:t>
            </w:r>
          </w:p>
        </w:tc>
        <w:tc>
          <w:tcPr>
            <w:tcW w:w="2804" w:type="dxa"/>
            <w:tcBorders>
              <w:bottom w:val="single" w:sz="4" w:space="0" w:color="auto"/>
            </w:tcBorders>
            <w:shd w:val="clear" w:color="000000" w:fill="FFFFFF"/>
            <w:noWrap/>
            <w:vAlign w:val="center"/>
            <w:hideMark/>
          </w:tcPr>
          <w:p w14:paraId="2583AB9F" w14:textId="77777777" w:rsidR="003876AC" w:rsidRPr="00C44CCD" w:rsidRDefault="003876AC" w:rsidP="00B37499">
            <w:pPr>
              <w:widowControl/>
              <w:jc w:val="center"/>
              <w:rPr>
                <w:rFonts w:ascii="Times New Roman" w:eastAsia="游ゴシック" w:hAnsi="Times New Roman" w:cs="Times New Roman"/>
                <w:color w:val="000000"/>
                <w:kern w:val="0"/>
                <w:sz w:val="20"/>
                <w:szCs w:val="20"/>
                <w:highlight w:val="yellow"/>
              </w:rPr>
            </w:pPr>
            <w:r w:rsidRPr="00C44CCD">
              <w:rPr>
                <w:rFonts w:ascii="Times New Roman" w:eastAsia="游ゴシック" w:hAnsi="Times New Roman" w:cs="Times New Roman"/>
                <w:color w:val="000000"/>
                <w:kern w:val="0"/>
                <w:sz w:val="20"/>
                <w:szCs w:val="20"/>
              </w:rPr>
              <w:t>18 (75.0)</w:t>
            </w:r>
          </w:p>
        </w:tc>
      </w:tr>
      <w:tr w:rsidR="003876AC" w:rsidRPr="00C44CCD" w14:paraId="1A31EB3C" w14:textId="77777777" w:rsidTr="008734C8">
        <w:trPr>
          <w:trHeight w:val="360"/>
        </w:trPr>
        <w:tc>
          <w:tcPr>
            <w:tcW w:w="3402" w:type="dxa"/>
            <w:tcBorders>
              <w:top w:val="single" w:sz="4" w:space="0" w:color="auto"/>
              <w:bottom w:val="single" w:sz="4" w:space="0" w:color="auto"/>
            </w:tcBorders>
            <w:shd w:val="clear" w:color="000000" w:fill="FFFFFF"/>
            <w:noWrap/>
            <w:vAlign w:val="center"/>
            <w:hideMark/>
          </w:tcPr>
          <w:p w14:paraId="22FC78B6" w14:textId="673B3898" w:rsidR="003876AC" w:rsidRPr="00C44CCD" w:rsidRDefault="003876AC" w:rsidP="00B37499">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Continuous variab</w:t>
            </w:r>
            <w:r w:rsidR="003052BA" w:rsidRPr="00C44CCD">
              <w:rPr>
                <w:rFonts w:ascii="Times New Roman" w:eastAsia="游ゴシック" w:hAnsi="Times New Roman" w:cs="Times New Roman" w:hint="eastAsia"/>
                <w:b/>
                <w:bCs/>
                <w:color w:val="000000"/>
                <w:kern w:val="0"/>
                <w:sz w:val="20"/>
                <w:szCs w:val="20"/>
              </w:rPr>
              <w:t>l</w:t>
            </w:r>
            <w:r w:rsidRPr="00C44CCD">
              <w:rPr>
                <w:rFonts w:ascii="Times New Roman" w:eastAsia="游ゴシック" w:hAnsi="Times New Roman" w:cs="Times New Roman"/>
                <w:b/>
                <w:bCs/>
                <w:color w:val="000000"/>
                <w:kern w:val="0"/>
                <w:sz w:val="20"/>
                <w:szCs w:val="20"/>
              </w:rPr>
              <w:t>es, mean (SD)</w:t>
            </w:r>
          </w:p>
        </w:tc>
        <w:tc>
          <w:tcPr>
            <w:tcW w:w="2694" w:type="dxa"/>
            <w:tcBorders>
              <w:top w:val="single" w:sz="4" w:space="0" w:color="auto"/>
              <w:bottom w:val="single" w:sz="4" w:space="0" w:color="auto"/>
            </w:tcBorders>
            <w:shd w:val="clear" w:color="000000" w:fill="FFFFFF"/>
            <w:noWrap/>
            <w:vAlign w:val="center"/>
            <w:hideMark/>
          </w:tcPr>
          <w:p w14:paraId="4AAFAE5D" w14:textId="77777777" w:rsidR="003876AC" w:rsidRPr="00C44CCD" w:rsidRDefault="003876AC" w:rsidP="00B37499">
            <w:pPr>
              <w:widowControl/>
              <w:jc w:val="left"/>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　</w:t>
            </w:r>
          </w:p>
        </w:tc>
        <w:tc>
          <w:tcPr>
            <w:tcW w:w="2804" w:type="dxa"/>
            <w:tcBorders>
              <w:top w:val="single" w:sz="4" w:space="0" w:color="auto"/>
              <w:bottom w:val="single" w:sz="4" w:space="0" w:color="auto"/>
            </w:tcBorders>
            <w:shd w:val="clear" w:color="000000" w:fill="FFFFFF"/>
            <w:noWrap/>
            <w:vAlign w:val="center"/>
            <w:hideMark/>
          </w:tcPr>
          <w:p w14:paraId="50C1143B" w14:textId="77777777" w:rsidR="003876AC" w:rsidRPr="00C44CCD" w:rsidRDefault="003876AC" w:rsidP="00B37499">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　</w:t>
            </w:r>
          </w:p>
        </w:tc>
      </w:tr>
      <w:tr w:rsidR="003876AC" w:rsidRPr="00C44CCD" w14:paraId="005BFB8E" w14:textId="77777777" w:rsidTr="00C44CCD">
        <w:trPr>
          <w:trHeight w:val="148"/>
        </w:trPr>
        <w:tc>
          <w:tcPr>
            <w:tcW w:w="3402" w:type="dxa"/>
            <w:tcBorders>
              <w:top w:val="single" w:sz="4" w:space="0" w:color="auto"/>
            </w:tcBorders>
            <w:shd w:val="clear" w:color="000000" w:fill="FFFFFF"/>
            <w:noWrap/>
            <w:vAlign w:val="center"/>
            <w:hideMark/>
          </w:tcPr>
          <w:p w14:paraId="081A216F" w14:textId="77777777" w:rsidR="003876AC" w:rsidRPr="00C44CCD" w:rsidRDefault="003876AC" w:rsidP="00B37499">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Age, y </w:t>
            </w:r>
          </w:p>
        </w:tc>
        <w:tc>
          <w:tcPr>
            <w:tcW w:w="2694" w:type="dxa"/>
            <w:tcBorders>
              <w:top w:val="single" w:sz="4" w:space="0" w:color="auto"/>
            </w:tcBorders>
            <w:shd w:val="clear" w:color="000000" w:fill="FFFFFF"/>
            <w:noWrap/>
            <w:vAlign w:val="bottom"/>
            <w:hideMark/>
          </w:tcPr>
          <w:p w14:paraId="6D81617C" w14:textId="77777777" w:rsidR="003876AC" w:rsidRPr="00953B33" w:rsidRDefault="003876AC" w:rsidP="00B37499">
            <w:pPr>
              <w:widowControl/>
              <w:jc w:val="center"/>
              <w:rPr>
                <w:rFonts w:ascii="Times New Roman" w:eastAsia="游ゴシック" w:hAnsi="Times New Roman" w:cs="Times New Roman"/>
                <w:color w:val="000000"/>
                <w:kern w:val="0"/>
                <w:sz w:val="20"/>
                <w:szCs w:val="20"/>
                <w:highlight w:val="yellow"/>
              </w:rPr>
            </w:pPr>
            <w:r w:rsidRPr="00953B33">
              <w:rPr>
                <w:rFonts w:ascii="Times New Roman" w:eastAsia="游ゴシック" w:hAnsi="Times New Roman" w:cs="Times New Roman"/>
                <w:color w:val="000000"/>
                <w:kern w:val="0"/>
                <w:sz w:val="20"/>
                <w:szCs w:val="20"/>
                <w:highlight w:val="yellow"/>
              </w:rPr>
              <w:t>65.2 (8.7)</w:t>
            </w:r>
          </w:p>
        </w:tc>
        <w:tc>
          <w:tcPr>
            <w:tcW w:w="2804" w:type="dxa"/>
            <w:tcBorders>
              <w:top w:val="single" w:sz="4" w:space="0" w:color="auto"/>
            </w:tcBorders>
            <w:shd w:val="clear" w:color="auto" w:fill="auto"/>
            <w:noWrap/>
            <w:vAlign w:val="center"/>
            <w:hideMark/>
          </w:tcPr>
          <w:p w14:paraId="1785BACD" w14:textId="3BB5237B" w:rsidR="003876AC" w:rsidRPr="00953B33" w:rsidRDefault="003876AC" w:rsidP="00B37499">
            <w:pPr>
              <w:widowControl/>
              <w:jc w:val="center"/>
              <w:rPr>
                <w:rFonts w:ascii="Times New Roman" w:eastAsia="游ゴシック" w:hAnsi="Times New Roman" w:cs="Times New Roman"/>
                <w:color w:val="000000"/>
                <w:kern w:val="0"/>
                <w:sz w:val="20"/>
                <w:szCs w:val="20"/>
                <w:highlight w:val="yellow"/>
              </w:rPr>
            </w:pPr>
            <w:r w:rsidRPr="00953B33">
              <w:rPr>
                <w:rFonts w:ascii="Times New Roman" w:eastAsia="游ゴシック" w:hAnsi="Times New Roman" w:cs="Times New Roman"/>
                <w:color w:val="000000"/>
                <w:kern w:val="0"/>
                <w:sz w:val="20"/>
                <w:szCs w:val="20"/>
                <w:highlight w:val="yellow"/>
              </w:rPr>
              <w:t>69.</w:t>
            </w:r>
            <w:r w:rsidR="00B91A2D" w:rsidRPr="00953B33">
              <w:rPr>
                <w:rFonts w:ascii="Times New Roman" w:eastAsia="游ゴシック" w:hAnsi="Times New Roman" w:cs="Times New Roman"/>
                <w:color w:val="000000"/>
                <w:kern w:val="0"/>
                <w:sz w:val="20"/>
                <w:szCs w:val="20"/>
                <w:highlight w:val="yellow"/>
              </w:rPr>
              <w:t>8</w:t>
            </w:r>
            <w:r w:rsidRPr="00953B33">
              <w:rPr>
                <w:rFonts w:ascii="Times New Roman" w:eastAsia="游ゴシック" w:hAnsi="Times New Roman" w:cs="Times New Roman"/>
                <w:color w:val="000000"/>
                <w:kern w:val="0"/>
                <w:sz w:val="20"/>
                <w:szCs w:val="20"/>
                <w:highlight w:val="yellow"/>
              </w:rPr>
              <w:t xml:space="preserve"> (</w:t>
            </w:r>
            <w:r w:rsidR="00B91A2D" w:rsidRPr="00953B33">
              <w:rPr>
                <w:rFonts w:ascii="Times New Roman" w:eastAsia="游ゴシック" w:hAnsi="Times New Roman" w:cs="Times New Roman"/>
                <w:color w:val="000000"/>
                <w:kern w:val="0"/>
                <w:sz w:val="20"/>
                <w:szCs w:val="20"/>
                <w:highlight w:val="yellow"/>
              </w:rPr>
              <w:t>9.9</w:t>
            </w:r>
            <w:r w:rsidRPr="00953B33">
              <w:rPr>
                <w:rFonts w:ascii="Times New Roman" w:eastAsia="游ゴシック" w:hAnsi="Times New Roman" w:cs="Times New Roman"/>
                <w:color w:val="000000"/>
                <w:kern w:val="0"/>
                <w:sz w:val="20"/>
                <w:szCs w:val="20"/>
                <w:highlight w:val="yellow"/>
              </w:rPr>
              <w:t>)</w:t>
            </w:r>
          </w:p>
        </w:tc>
      </w:tr>
      <w:tr w:rsidR="003876AC" w:rsidRPr="00C44CCD" w14:paraId="1C886273" w14:textId="77777777" w:rsidTr="008734C8">
        <w:trPr>
          <w:trHeight w:val="360"/>
        </w:trPr>
        <w:tc>
          <w:tcPr>
            <w:tcW w:w="3402" w:type="dxa"/>
            <w:shd w:val="clear" w:color="000000" w:fill="FFFFFF"/>
            <w:noWrap/>
            <w:vAlign w:val="center"/>
            <w:hideMark/>
          </w:tcPr>
          <w:p w14:paraId="63CE2916" w14:textId="77777777" w:rsidR="003876AC" w:rsidRPr="00C44CCD" w:rsidRDefault="003876AC" w:rsidP="00B37499">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Cr, mg/dL</w:t>
            </w:r>
          </w:p>
        </w:tc>
        <w:tc>
          <w:tcPr>
            <w:tcW w:w="2694" w:type="dxa"/>
            <w:shd w:val="clear" w:color="000000" w:fill="FFFFFF"/>
            <w:noWrap/>
            <w:vAlign w:val="bottom"/>
            <w:hideMark/>
          </w:tcPr>
          <w:p w14:paraId="770B1B2A" w14:textId="77777777" w:rsidR="003876AC" w:rsidRPr="00C44CCD" w:rsidRDefault="003876AC" w:rsidP="00B37499">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2.74 (1.05)</w:t>
            </w:r>
          </w:p>
        </w:tc>
        <w:tc>
          <w:tcPr>
            <w:tcW w:w="2804" w:type="dxa"/>
            <w:shd w:val="clear" w:color="auto" w:fill="auto"/>
            <w:noWrap/>
            <w:vAlign w:val="center"/>
            <w:hideMark/>
          </w:tcPr>
          <w:p w14:paraId="001E1140" w14:textId="77777777" w:rsidR="003876AC" w:rsidRPr="00C44CCD" w:rsidRDefault="003876AC" w:rsidP="00B37499">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3.36 (2.79)</w:t>
            </w:r>
          </w:p>
        </w:tc>
      </w:tr>
      <w:tr w:rsidR="003876AC" w:rsidRPr="00C44CCD" w14:paraId="728A61C2" w14:textId="77777777" w:rsidTr="008734C8">
        <w:trPr>
          <w:trHeight w:val="396"/>
        </w:trPr>
        <w:tc>
          <w:tcPr>
            <w:tcW w:w="3402" w:type="dxa"/>
            <w:shd w:val="clear" w:color="000000" w:fill="FFFFFF"/>
            <w:noWrap/>
            <w:vAlign w:val="center"/>
            <w:hideMark/>
          </w:tcPr>
          <w:p w14:paraId="373590F9" w14:textId="77777777" w:rsidR="003876AC" w:rsidRPr="00C44CCD" w:rsidRDefault="003876AC" w:rsidP="00B37499">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eGFR, ml/min/1.73m</w:t>
            </w:r>
            <w:r w:rsidRPr="00C44CCD">
              <w:rPr>
                <w:rFonts w:ascii="Times New Roman" w:eastAsia="游ゴシック" w:hAnsi="Times New Roman" w:cs="Times New Roman"/>
                <w:b/>
                <w:bCs/>
                <w:color w:val="000000"/>
                <w:kern w:val="0"/>
                <w:sz w:val="20"/>
                <w:szCs w:val="20"/>
                <w:vertAlign w:val="superscript"/>
              </w:rPr>
              <w:t>2</w:t>
            </w:r>
          </w:p>
        </w:tc>
        <w:tc>
          <w:tcPr>
            <w:tcW w:w="2694" w:type="dxa"/>
            <w:shd w:val="clear" w:color="000000" w:fill="FFFFFF"/>
            <w:noWrap/>
            <w:vAlign w:val="bottom"/>
            <w:hideMark/>
          </w:tcPr>
          <w:p w14:paraId="1D07755A" w14:textId="77777777" w:rsidR="003876AC" w:rsidRPr="00C44CCD" w:rsidRDefault="003876AC" w:rsidP="00C44CCD">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23.8 (13.4)</w:t>
            </w:r>
          </w:p>
        </w:tc>
        <w:tc>
          <w:tcPr>
            <w:tcW w:w="2804" w:type="dxa"/>
            <w:shd w:val="clear" w:color="auto" w:fill="auto"/>
            <w:noWrap/>
            <w:vAlign w:val="center"/>
            <w:hideMark/>
          </w:tcPr>
          <w:p w14:paraId="422DCFD1" w14:textId="1CF25B67" w:rsidR="003876AC" w:rsidRPr="00C44CCD" w:rsidRDefault="003876AC" w:rsidP="00C44CCD">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26.7 (17.8)</w:t>
            </w:r>
          </w:p>
        </w:tc>
      </w:tr>
      <w:tr w:rsidR="00C44CCD" w:rsidRPr="00C44CCD" w14:paraId="4F9B0341" w14:textId="77777777" w:rsidTr="00875960">
        <w:trPr>
          <w:trHeight w:val="585"/>
        </w:trPr>
        <w:tc>
          <w:tcPr>
            <w:tcW w:w="3402" w:type="dxa"/>
            <w:shd w:val="clear" w:color="000000" w:fill="FFFFFF"/>
            <w:noWrap/>
            <w:vAlign w:val="center"/>
            <w:hideMark/>
          </w:tcPr>
          <w:p w14:paraId="6D99EC81" w14:textId="77777777"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IgG, mg/dL</w:t>
            </w:r>
          </w:p>
          <w:p w14:paraId="41D551B4" w14:textId="4512FB30"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ＭＳ Ｐゴシック" w:hAnsi="Times New Roman" w:cs="Times New Roman"/>
                <w:b/>
                <w:bCs/>
                <w:color w:val="000000" w:themeColor="text1"/>
                <w:kern w:val="0"/>
                <w:sz w:val="20"/>
                <w:szCs w:val="20"/>
                <w:highlight w:val="yellow"/>
              </w:rPr>
              <w:t>(reference range, 870-1700 mg/dL)</w:t>
            </w:r>
          </w:p>
        </w:tc>
        <w:tc>
          <w:tcPr>
            <w:tcW w:w="2694" w:type="dxa"/>
            <w:shd w:val="clear" w:color="000000" w:fill="FFFFFF"/>
            <w:noWrap/>
            <w:vAlign w:val="center"/>
          </w:tcPr>
          <w:p w14:paraId="2FAC348B" w14:textId="7C104830"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4622.2 (1434.7)</w:t>
            </w:r>
          </w:p>
        </w:tc>
        <w:tc>
          <w:tcPr>
            <w:tcW w:w="2804" w:type="dxa"/>
            <w:shd w:val="clear" w:color="auto" w:fill="auto"/>
            <w:noWrap/>
            <w:vAlign w:val="center"/>
            <w:hideMark/>
          </w:tcPr>
          <w:p w14:paraId="7C687D47" w14:textId="77777777"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3842.1 (1124.2)</w:t>
            </w:r>
          </w:p>
        </w:tc>
      </w:tr>
      <w:tr w:rsidR="00C44CCD" w:rsidRPr="00C44CCD" w14:paraId="2D237631" w14:textId="77777777" w:rsidTr="00875960">
        <w:trPr>
          <w:trHeight w:val="360"/>
        </w:trPr>
        <w:tc>
          <w:tcPr>
            <w:tcW w:w="3402" w:type="dxa"/>
            <w:shd w:val="clear" w:color="000000" w:fill="FFFFFF"/>
            <w:noWrap/>
            <w:vAlign w:val="center"/>
            <w:hideMark/>
          </w:tcPr>
          <w:p w14:paraId="6321FC55" w14:textId="77777777"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IgG4, mg/dL</w:t>
            </w:r>
          </w:p>
          <w:p w14:paraId="08D8B533" w14:textId="0186A74B"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ＭＳ Ｐゴシック" w:hAnsi="Times New Roman" w:cs="Times New Roman"/>
                <w:b/>
                <w:bCs/>
                <w:color w:val="000000" w:themeColor="text1"/>
                <w:kern w:val="0"/>
                <w:sz w:val="20"/>
                <w:szCs w:val="20"/>
                <w:highlight w:val="yellow"/>
              </w:rPr>
              <w:t>(reference range, 5-105 mg/dL)</w:t>
            </w:r>
          </w:p>
        </w:tc>
        <w:tc>
          <w:tcPr>
            <w:tcW w:w="2694" w:type="dxa"/>
            <w:shd w:val="clear" w:color="000000" w:fill="FFFFFF"/>
            <w:noWrap/>
            <w:vAlign w:val="center"/>
            <w:hideMark/>
          </w:tcPr>
          <w:p w14:paraId="19367EFB" w14:textId="03270B6D"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214.5 (195.9)</w:t>
            </w:r>
          </w:p>
          <w:p w14:paraId="7CAC1E2B" w14:textId="3133DBA4"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p>
        </w:tc>
        <w:tc>
          <w:tcPr>
            <w:tcW w:w="2804" w:type="dxa"/>
            <w:shd w:val="clear" w:color="auto" w:fill="auto"/>
            <w:noWrap/>
            <w:vAlign w:val="center"/>
            <w:hideMark/>
          </w:tcPr>
          <w:p w14:paraId="720E641C" w14:textId="77777777"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1122.6 (1073.9)</w:t>
            </w:r>
          </w:p>
        </w:tc>
      </w:tr>
      <w:tr w:rsidR="00C44CCD" w:rsidRPr="00C44CCD" w14:paraId="2CFC3B93" w14:textId="77777777" w:rsidTr="00875960">
        <w:trPr>
          <w:trHeight w:val="360"/>
        </w:trPr>
        <w:tc>
          <w:tcPr>
            <w:tcW w:w="3402" w:type="dxa"/>
            <w:shd w:val="clear" w:color="000000" w:fill="FFFFFF"/>
            <w:noWrap/>
            <w:vAlign w:val="center"/>
            <w:hideMark/>
          </w:tcPr>
          <w:p w14:paraId="4479FE8E" w14:textId="77777777"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IgG4/IgG</w:t>
            </w:r>
          </w:p>
        </w:tc>
        <w:tc>
          <w:tcPr>
            <w:tcW w:w="2694" w:type="dxa"/>
            <w:shd w:val="clear" w:color="000000" w:fill="FFFFFF"/>
            <w:noWrap/>
            <w:vAlign w:val="center"/>
            <w:hideMark/>
          </w:tcPr>
          <w:p w14:paraId="172775BD" w14:textId="77777777"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0.07 (0.08)</w:t>
            </w:r>
          </w:p>
        </w:tc>
        <w:tc>
          <w:tcPr>
            <w:tcW w:w="2804" w:type="dxa"/>
            <w:shd w:val="clear" w:color="auto" w:fill="auto"/>
            <w:noWrap/>
            <w:vAlign w:val="center"/>
            <w:hideMark/>
          </w:tcPr>
          <w:p w14:paraId="5FDC9991" w14:textId="77777777"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0.27 (0.18)</w:t>
            </w:r>
          </w:p>
        </w:tc>
      </w:tr>
      <w:tr w:rsidR="00C44CCD" w:rsidRPr="00C44CCD" w14:paraId="5ED10F64" w14:textId="77777777" w:rsidTr="00875960">
        <w:trPr>
          <w:trHeight w:val="360"/>
        </w:trPr>
        <w:tc>
          <w:tcPr>
            <w:tcW w:w="3402" w:type="dxa"/>
            <w:shd w:val="clear" w:color="000000" w:fill="FFFFFF"/>
            <w:noWrap/>
            <w:vAlign w:val="center"/>
            <w:hideMark/>
          </w:tcPr>
          <w:p w14:paraId="6F7C4A57" w14:textId="77777777"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C3, mg/dL</w:t>
            </w:r>
          </w:p>
          <w:p w14:paraId="63863F75" w14:textId="5A1EDF03"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ＭＳ Ｐゴシック" w:hAnsi="Times New Roman" w:cs="Times New Roman"/>
                <w:b/>
                <w:bCs/>
                <w:color w:val="000000" w:themeColor="text1"/>
                <w:kern w:val="0"/>
                <w:sz w:val="20"/>
                <w:szCs w:val="20"/>
                <w:highlight w:val="yellow"/>
              </w:rPr>
              <w:t>(reference range, 63-134 mg/dL)</w:t>
            </w:r>
          </w:p>
        </w:tc>
        <w:tc>
          <w:tcPr>
            <w:tcW w:w="2694" w:type="dxa"/>
            <w:shd w:val="clear" w:color="000000" w:fill="FFFFFF"/>
            <w:noWrap/>
            <w:vAlign w:val="center"/>
            <w:hideMark/>
          </w:tcPr>
          <w:p w14:paraId="7D839E68" w14:textId="17AE4B68"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34.7 (22.8)</w:t>
            </w:r>
          </w:p>
          <w:p w14:paraId="303D492A" w14:textId="512D55E0"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p>
        </w:tc>
        <w:tc>
          <w:tcPr>
            <w:tcW w:w="2804" w:type="dxa"/>
            <w:shd w:val="clear" w:color="auto" w:fill="auto"/>
            <w:noWrap/>
            <w:vAlign w:val="center"/>
            <w:hideMark/>
          </w:tcPr>
          <w:p w14:paraId="3A2CAC0C" w14:textId="77777777"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50.6 (33.7)</w:t>
            </w:r>
          </w:p>
        </w:tc>
      </w:tr>
      <w:tr w:rsidR="00C44CCD" w:rsidRPr="00C44CCD" w14:paraId="560095B7" w14:textId="77777777" w:rsidTr="00875960">
        <w:trPr>
          <w:trHeight w:val="360"/>
        </w:trPr>
        <w:tc>
          <w:tcPr>
            <w:tcW w:w="3402" w:type="dxa"/>
            <w:tcBorders>
              <w:bottom w:val="single" w:sz="4" w:space="0" w:color="auto"/>
            </w:tcBorders>
            <w:shd w:val="clear" w:color="000000" w:fill="FFFFFF"/>
            <w:noWrap/>
            <w:vAlign w:val="center"/>
            <w:hideMark/>
          </w:tcPr>
          <w:p w14:paraId="5196DCE0" w14:textId="77777777"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C4, mg/dL</w:t>
            </w:r>
          </w:p>
          <w:p w14:paraId="154850AA" w14:textId="51EF1A9A" w:rsidR="00C44CCD" w:rsidRPr="00C44CCD" w:rsidRDefault="00C44CCD" w:rsidP="00C44CCD">
            <w:pPr>
              <w:widowControl/>
              <w:spacing w:line="0" w:lineRule="atLeast"/>
              <w:jc w:val="left"/>
              <w:rPr>
                <w:rFonts w:ascii="Times New Roman" w:eastAsia="游ゴシック" w:hAnsi="Times New Roman" w:cs="Times New Roman"/>
                <w:b/>
                <w:bCs/>
                <w:color w:val="000000"/>
                <w:kern w:val="0"/>
                <w:sz w:val="20"/>
                <w:szCs w:val="20"/>
              </w:rPr>
            </w:pPr>
            <w:r w:rsidRPr="00C44CCD">
              <w:rPr>
                <w:rFonts w:ascii="Times New Roman" w:eastAsia="ＭＳ Ｐゴシック" w:hAnsi="Times New Roman" w:cs="Times New Roman"/>
                <w:b/>
                <w:bCs/>
                <w:color w:val="000000" w:themeColor="text1"/>
                <w:kern w:val="0"/>
                <w:sz w:val="20"/>
                <w:szCs w:val="20"/>
                <w:highlight w:val="yellow"/>
              </w:rPr>
              <w:t>(reference range, 13-36 mg/dL)</w:t>
            </w:r>
          </w:p>
        </w:tc>
        <w:tc>
          <w:tcPr>
            <w:tcW w:w="2694" w:type="dxa"/>
            <w:tcBorders>
              <w:bottom w:val="single" w:sz="4" w:space="0" w:color="auto"/>
            </w:tcBorders>
            <w:shd w:val="clear" w:color="000000" w:fill="FFFFFF"/>
            <w:noWrap/>
            <w:vAlign w:val="center"/>
            <w:hideMark/>
          </w:tcPr>
          <w:p w14:paraId="4D61FC46" w14:textId="148F92E6"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2.9 (3.0)</w:t>
            </w:r>
          </w:p>
          <w:p w14:paraId="124B3B5D" w14:textId="7FED1779"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p>
        </w:tc>
        <w:tc>
          <w:tcPr>
            <w:tcW w:w="2804" w:type="dxa"/>
            <w:tcBorders>
              <w:bottom w:val="single" w:sz="4" w:space="0" w:color="auto"/>
            </w:tcBorders>
            <w:shd w:val="clear" w:color="auto" w:fill="auto"/>
            <w:noWrap/>
            <w:vAlign w:val="center"/>
            <w:hideMark/>
          </w:tcPr>
          <w:p w14:paraId="6B311BB3" w14:textId="77777777" w:rsidR="00C44CCD" w:rsidRPr="00C44CCD" w:rsidRDefault="00C44CCD" w:rsidP="00875960">
            <w:pPr>
              <w:widowControl/>
              <w:spacing w:line="0" w:lineRule="atLeast"/>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8.9 (11.9)</w:t>
            </w:r>
          </w:p>
        </w:tc>
      </w:tr>
      <w:tr w:rsidR="00C44CCD" w:rsidRPr="00C44CCD" w14:paraId="3217BEFC" w14:textId="77777777" w:rsidTr="008734C8">
        <w:trPr>
          <w:trHeight w:val="360"/>
        </w:trPr>
        <w:tc>
          <w:tcPr>
            <w:tcW w:w="3402" w:type="dxa"/>
            <w:tcBorders>
              <w:top w:val="single" w:sz="4" w:space="0" w:color="auto"/>
              <w:bottom w:val="single" w:sz="4" w:space="0" w:color="auto"/>
            </w:tcBorders>
            <w:shd w:val="clear" w:color="000000" w:fill="FFFFFF"/>
            <w:noWrap/>
            <w:vAlign w:val="center"/>
            <w:hideMark/>
          </w:tcPr>
          <w:p w14:paraId="6F7C78B3"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Categorical variables, n (%)</w:t>
            </w:r>
          </w:p>
        </w:tc>
        <w:tc>
          <w:tcPr>
            <w:tcW w:w="2694" w:type="dxa"/>
            <w:tcBorders>
              <w:top w:val="single" w:sz="4" w:space="0" w:color="auto"/>
              <w:bottom w:val="single" w:sz="4" w:space="0" w:color="auto"/>
            </w:tcBorders>
            <w:shd w:val="clear" w:color="000000" w:fill="FFFFFF"/>
            <w:noWrap/>
            <w:vAlign w:val="bottom"/>
            <w:hideMark/>
          </w:tcPr>
          <w:p w14:paraId="152F6876" w14:textId="39E39062" w:rsidR="00C44CCD" w:rsidRPr="00C44CCD" w:rsidRDefault="00C44CCD" w:rsidP="00C44CCD">
            <w:pPr>
              <w:widowControl/>
              <w:jc w:val="center"/>
              <w:rPr>
                <w:rFonts w:ascii="Times New Roman" w:eastAsia="游ゴシック" w:hAnsi="Times New Roman" w:cs="Times New Roman"/>
                <w:color w:val="000000"/>
                <w:kern w:val="0"/>
                <w:sz w:val="20"/>
                <w:szCs w:val="20"/>
              </w:rPr>
            </w:pPr>
          </w:p>
        </w:tc>
        <w:tc>
          <w:tcPr>
            <w:tcW w:w="2804" w:type="dxa"/>
            <w:tcBorders>
              <w:top w:val="single" w:sz="4" w:space="0" w:color="auto"/>
              <w:bottom w:val="single" w:sz="4" w:space="0" w:color="auto"/>
            </w:tcBorders>
            <w:shd w:val="clear" w:color="000000" w:fill="FFFFFF"/>
            <w:noWrap/>
            <w:vAlign w:val="center"/>
            <w:hideMark/>
          </w:tcPr>
          <w:p w14:paraId="56C72D0A" w14:textId="6A26C608" w:rsidR="00C44CCD" w:rsidRPr="00C44CCD" w:rsidRDefault="00C44CCD" w:rsidP="00C44CCD">
            <w:pPr>
              <w:widowControl/>
              <w:jc w:val="center"/>
              <w:rPr>
                <w:rFonts w:ascii="Times New Roman" w:eastAsia="游ゴシック" w:hAnsi="Times New Roman" w:cs="Times New Roman"/>
                <w:color w:val="000000"/>
                <w:kern w:val="0"/>
                <w:sz w:val="20"/>
                <w:szCs w:val="20"/>
              </w:rPr>
            </w:pPr>
          </w:p>
        </w:tc>
      </w:tr>
      <w:tr w:rsidR="00C44CCD" w:rsidRPr="00C44CCD" w14:paraId="4508311B" w14:textId="77777777" w:rsidTr="008734C8">
        <w:trPr>
          <w:trHeight w:val="360"/>
        </w:trPr>
        <w:tc>
          <w:tcPr>
            <w:tcW w:w="3402" w:type="dxa"/>
            <w:tcBorders>
              <w:top w:val="single" w:sz="4" w:space="0" w:color="auto"/>
            </w:tcBorders>
            <w:shd w:val="clear" w:color="000000" w:fill="FFFFFF"/>
            <w:noWrap/>
            <w:vAlign w:val="center"/>
            <w:hideMark/>
          </w:tcPr>
          <w:p w14:paraId="5406A808"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Gender, male</w:t>
            </w:r>
          </w:p>
        </w:tc>
        <w:tc>
          <w:tcPr>
            <w:tcW w:w="2694" w:type="dxa"/>
            <w:tcBorders>
              <w:top w:val="single" w:sz="4" w:space="0" w:color="auto"/>
            </w:tcBorders>
            <w:shd w:val="clear" w:color="000000" w:fill="FFFFFF"/>
            <w:noWrap/>
            <w:vAlign w:val="center"/>
            <w:hideMark/>
          </w:tcPr>
          <w:p w14:paraId="1E69169F"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5 (83.3)</w:t>
            </w:r>
          </w:p>
        </w:tc>
        <w:tc>
          <w:tcPr>
            <w:tcW w:w="2804" w:type="dxa"/>
            <w:tcBorders>
              <w:top w:val="single" w:sz="4" w:space="0" w:color="auto"/>
            </w:tcBorders>
            <w:shd w:val="clear" w:color="000000" w:fill="FFFFFF"/>
            <w:noWrap/>
            <w:vAlign w:val="center"/>
            <w:hideMark/>
          </w:tcPr>
          <w:p w14:paraId="409591D3"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15 (83.3)</w:t>
            </w:r>
          </w:p>
        </w:tc>
      </w:tr>
      <w:tr w:rsidR="00C44CCD" w:rsidRPr="00C44CCD" w14:paraId="053302C3" w14:textId="77777777" w:rsidTr="008734C8">
        <w:trPr>
          <w:trHeight w:val="360"/>
        </w:trPr>
        <w:tc>
          <w:tcPr>
            <w:tcW w:w="3402" w:type="dxa"/>
            <w:shd w:val="clear" w:color="000000" w:fill="FFFFFF"/>
            <w:noWrap/>
            <w:vAlign w:val="center"/>
            <w:hideMark/>
          </w:tcPr>
          <w:p w14:paraId="6650B066"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Proteinuria</w:t>
            </w:r>
          </w:p>
        </w:tc>
        <w:tc>
          <w:tcPr>
            <w:tcW w:w="2694" w:type="dxa"/>
            <w:shd w:val="clear" w:color="000000" w:fill="FFFFFF"/>
            <w:noWrap/>
            <w:vAlign w:val="bottom"/>
            <w:hideMark/>
          </w:tcPr>
          <w:p w14:paraId="408C1FDB"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　</w:t>
            </w:r>
          </w:p>
        </w:tc>
        <w:tc>
          <w:tcPr>
            <w:tcW w:w="2804" w:type="dxa"/>
            <w:shd w:val="clear" w:color="000000" w:fill="FFFFFF"/>
            <w:noWrap/>
            <w:vAlign w:val="center"/>
            <w:hideMark/>
          </w:tcPr>
          <w:p w14:paraId="5AAEF67D"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　</w:t>
            </w:r>
          </w:p>
        </w:tc>
      </w:tr>
      <w:tr w:rsidR="00C44CCD" w:rsidRPr="00C44CCD" w14:paraId="42D9CB68" w14:textId="77777777" w:rsidTr="008734C8">
        <w:trPr>
          <w:trHeight w:val="360"/>
        </w:trPr>
        <w:tc>
          <w:tcPr>
            <w:tcW w:w="3402" w:type="dxa"/>
            <w:shd w:val="clear" w:color="000000" w:fill="FFFFFF"/>
            <w:noWrap/>
            <w:vAlign w:val="center"/>
            <w:hideMark/>
          </w:tcPr>
          <w:p w14:paraId="10FDB528"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w:t>
            </w:r>
          </w:p>
        </w:tc>
        <w:tc>
          <w:tcPr>
            <w:tcW w:w="2694" w:type="dxa"/>
            <w:shd w:val="clear" w:color="000000" w:fill="FFFFFF"/>
            <w:noWrap/>
            <w:vAlign w:val="bottom"/>
            <w:hideMark/>
          </w:tcPr>
          <w:p w14:paraId="701B697D"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1 (16.7)</w:t>
            </w:r>
          </w:p>
        </w:tc>
        <w:tc>
          <w:tcPr>
            <w:tcW w:w="2804" w:type="dxa"/>
            <w:shd w:val="clear" w:color="auto" w:fill="auto"/>
            <w:noWrap/>
            <w:vAlign w:val="center"/>
            <w:hideMark/>
          </w:tcPr>
          <w:p w14:paraId="66AAD5D2"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4 (22.2)</w:t>
            </w:r>
          </w:p>
        </w:tc>
      </w:tr>
      <w:tr w:rsidR="00C44CCD" w:rsidRPr="00C44CCD" w14:paraId="3B526732" w14:textId="77777777" w:rsidTr="008734C8">
        <w:trPr>
          <w:trHeight w:val="360"/>
        </w:trPr>
        <w:tc>
          <w:tcPr>
            <w:tcW w:w="3402" w:type="dxa"/>
            <w:shd w:val="clear" w:color="000000" w:fill="FFFFFF"/>
            <w:noWrap/>
            <w:vAlign w:val="center"/>
            <w:hideMark/>
          </w:tcPr>
          <w:p w14:paraId="385D20C2"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w:t>
            </w:r>
          </w:p>
        </w:tc>
        <w:tc>
          <w:tcPr>
            <w:tcW w:w="2694" w:type="dxa"/>
            <w:shd w:val="clear" w:color="000000" w:fill="FFFFFF"/>
            <w:noWrap/>
            <w:vAlign w:val="bottom"/>
            <w:hideMark/>
          </w:tcPr>
          <w:p w14:paraId="67BE935B"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0 (0.0)</w:t>
            </w:r>
          </w:p>
        </w:tc>
        <w:tc>
          <w:tcPr>
            <w:tcW w:w="2804" w:type="dxa"/>
            <w:shd w:val="clear" w:color="auto" w:fill="auto"/>
            <w:noWrap/>
            <w:vAlign w:val="center"/>
            <w:hideMark/>
          </w:tcPr>
          <w:p w14:paraId="152804F2"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5 (27.8)</w:t>
            </w:r>
          </w:p>
        </w:tc>
      </w:tr>
      <w:tr w:rsidR="00C44CCD" w:rsidRPr="00C44CCD" w14:paraId="43241AAD" w14:textId="77777777" w:rsidTr="008734C8">
        <w:trPr>
          <w:trHeight w:val="360"/>
        </w:trPr>
        <w:tc>
          <w:tcPr>
            <w:tcW w:w="3402" w:type="dxa"/>
            <w:shd w:val="clear" w:color="000000" w:fill="FFFFFF"/>
            <w:noWrap/>
            <w:vAlign w:val="center"/>
            <w:hideMark/>
          </w:tcPr>
          <w:p w14:paraId="634DB43E"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(1+)</w:t>
            </w:r>
          </w:p>
        </w:tc>
        <w:tc>
          <w:tcPr>
            <w:tcW w:w="2694" w:type="dxa"/>
            <w:shd w:val="clear" w:color="000000" w:fill="FFFFFF"/>
            <w:noWrap/>
            <w:vAlign w:val="bottom"/>
            <w:hideMark/>
          </w:tcPr>
          <w:p w14:paraId="37088883"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5 (83.3)</w:t>
            </w:r>
          </w:p>
        </w:tc>
        <w:tc>
          <w:tcPr>
            <w:tcW w:w="2804" w:type="dxa"/>
            <w:shd w:val="clear" w:color="000000" w:fill="FFFFFF"/>
            <w:noWrap/>
            <w:vAlign w:val="center"/>
            <w:hideMark/>
          </w:tcPr>
          <w:p w14:paraId="5D69E932"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8 (44.4)</w:t>
            </w:r>
          </w:p>
        </w:tc>
      </w:tr>
      <w:tr w:rsidR="00C44CCD" w:rsidRPr="00C44CCD" w14:paraId="64EE69A2" w14:textId="77777777" w:rsidTr="008734C8">
        <w:trPr>
          <w:trHeight w:val="360"/>
        </w:trPr>
        <w:tc>
          <w:tcPr>
            <w:tcW w:w="3402" w:type="dxa"/>
            <w:shd w:val="clear" w:color="000000" w:fill="FFFFFF"/>
            <w:noWrap/>
            <w:vAlign w:val="center"/>
            <w:hideMark/>
          </w:tcPr>
          <w:p w14:paraId="5B202DD2"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(2+)</w:t>
            </w:r>
          </w:p>
        </w:tc>
        <w:tc>
          <w:tcPr>
            <w:tcW w:w="2694" w:type="dxa"/>
            <w:shd w:val="clear" w:color="000000" w:fill="FFFFFF"/>
            <w:noWrap/>
            <w:vAlign w:val="bottom"/>
            <w:hideMark/>
          </w:tcPr>
          <w:p w14:paraId="7C8ABC5C"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0 (0.0)</w:t>
            </w:r>
          </w:p>
        </w:tc>
        <w:tc>
          <w:tcPr>
            <w:tcW w:w="2804" w:type="dxa"/>
            <w:shd w:val="clear" w:color="auto" w:fill="auto"/>
            <w:noWrap/>
            <w:vAlign w:val="center"/>
            <w:hideMark/>
          </w:tcPr>
          <w:p w14:paraId="716904EA"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1 (5.6)</w:t>
            </w:r>
          </w:p>
        </w:tc>
      </w:tr>
      <w:tr w:rsidR="00C44CCD" w:rsidRPr="00C44CCD" w14:paraId="4C7E8232" w14:textId="77777777" w:rsidTr="008734C8">
        <w:trPr>
          <w:trHeight w:val="360"/>
        </w:trPr>
        <w:tc>
          <w:tcPr>
            <w:tcW w:w="3402" w:type="dxa"/>
            <w:shd w:val="clear" w:color="000000" w:fill="FFFFFF"/>
            <w:noWrap/>
            <w:vAlign w:val="center"/>
            <w:hideMark/>
          </w:tcPr>
          <w:p w14:paraId="295769F5"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g/</w:t>
            </w:r>
            <w:proofErr w:type="spellStart"/>
            <w:r w:rsidRPr="00C44CCD">
              <w:rPr>
                <w:rFonts w:ascii="Times New Roman" w:eastAsia="游ゴシック" w:hAnsi="Times New Roman" w:cs="Times New Roman"/>
                <w:b/>
                <w:bCs/>
                <w:color w:val="000000"/>
                <w:kern w:val="0"/>
                <w:sz w:val="20"/>
                <w:szCs w:val="20"/>
              </w:rPr>
              <w:t>gCr</w:t>
            </w:r>
            <w:proofErr w:type="spellEnd"/>
          </w:p>
        </w:tc>
        <w:tc>
          <w:tcPr>
            <w:tcW w:w="2694" w:type="dxa"/>
            <w:shd w:val="clear" w:color="000000" w:fill="FFFFFF"/>
            <w:noWrap/>
            <w:vAlign w:val="bottom"/>
            <w:hideMark/>
          </w:tcPr>
          <w:p w14:paraId="1988AA62"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0.88 (0.63)</w:t>
            </w:r>
          </w:p>
        </w:tc>
        <w:tc>
          <w:tcPr>
            <w:tcW w:w="2804" w:type="dxa"/>
            <w:shd w:val="clear" w:color="auto" w:fill="auto"/>
            <w:noWrap/>
            <w:vAlign w:val="center"/>
            <w:hideMark/>
          </w:tcPr>
          <w:p w14:paraId="2AFD24EE"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0.41 (0.29)</w:t>
            </w:r>
          </w:p>
        </w:tc>
      </w:tr>
      <w:tr w:rsidR="00C44CCD" w:rsidRPr="00C44CCD" w14:paraId="47BD72C8" w14:textId="77777777" w:rsidTr="008734C8">
        <w:trPr>
          <w:trHeight w:val="360"/>
        </w:trPr>
        <w:tc>
          <w:tcPr>
            <w:tcW w:w="3402" w:type="dxa"/>
            <w:shd w:val="clear" w:color="000000" w:fill="FFFFFF"/>
            <w:noWrap/>
            <w:vAlign w:val="center"/>
            <w:hideMark/>
          </w:tcPr>
          <w:p w14:paraId="2C5599CC"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Hematuria</w:t>
            </w:r>
          </w:p>
        </w:tc>
        <w:tc>
          <w:tcPr>
            <w:tcW w:w="2694" w:type="dxa"/>
            <w:shd w:val="clear" w:color="000000" w:fill="FFFFFF"/>
            <w:noWrap/>
            <w:vAlign w:val="bottom"/>
            <w:hideMark/>
          </w:tcPr>
          <w:p w14:paraId="6AF9F495"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　</w:t>
            </w:r>
          </w:p>
        </w:tc>
        <w:tc>
          <w:tcPr>
            <w:tcW w:w="2804" w:type="dxa"/>
            <w:shd w:val="clear" w:color="000000" w:fill="FFFFFF"/>
            <w:noWrap/>
            <w:vAlign w:val="center"/>
            <w:hideMark/>
          </w:tcPr>
          <w:p w14:paraId="1228F14B"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　</w:t>
            </w:r>
          </w:p>
        </w:tc>
      </w:tr>
      <w:tr w:rsidR="00C44CCD" w:rsidRPr="00C44CCD" w14:paraId="13828DDD" w14:textId="77777777" w:rsidTr="008734C8">
        <w:trPr>
          <w:trHeight w:val="360"/>
        </w:trPr>
        <w:tc>
          <w:tcPr>
            <w:tcW w:w="3402" w:type="dxa"/>
            <w:shd w:val="clear" w:color="000000" w:fill="FFFFFF"/>
            <w:noWrap/>
            <w:vAlign w:val="center"/>
            <w:hideMark/>
          </w:tcPr>
          <w:p w14:paraId="49E946C3"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w:t>
            </w:r>
          </w:p>
        </w:tc>
        <w:tc>
          <w:tcPr>
            <w:tcW w:w="2694" w:type="dxa"/>
            <w:shd w:val="clear" w:color="000000" w:fill="FFFFFF"/>
            <w:noWrap/>
            <w:vAlign w:val="bottom"/>
            <w:hideMark/>
          </w:tcPr>
          <w:p w14:paraId="154C7418"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3 (50.0)</w:t>
            </w:r>
          </w:p>
        </w:tc>
        <w:tc>
          <w:tcPr>
            <w:tcW w:w="2804" w:type="dxa"/>
            <w:shd w:val="clear" w:color="auto" w:fill="auto"/>
            <w:noWrap/>
            <w:vAlign w:val="center"/>
            <w:hideMark/>
          </w:tcPr>
          <w:p w14:paraId="310E7A9C"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11 (61.1)</w:t>
            </w:r>
          </w:p>
        </w:tc>
      </w:tr>
      <w:tr w:rsidR="00C44CCD" w:rsidRPr="00C44CCD" w14:paraId="25A0DF4A" w14:textId="77777777" w:rsidTr="008734C8">
        <w:trPr>
          <w:trHeight w:val="360"/>
        </w:trPr>
        <w:tc>
          <w:tcPr>
            <w:tcW w:w="3402" w:type="dxa"/>
            <w:shd w:val="clear" w:color="000000" w:fill="FFFFFF"/>
            <w:noWrap/>
            <w:vAlign w:val="center"/>
            <w:hideMark/>
          </w:tcPr>
          <w:p w14:paraId="12890CF0"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w:t>
            </w:r>
          </w:p>
        </w:tc>
        <w:tc>
          <w:tcPr>
            <w:tcW w:w="2694" w:type="dxa"/>
            <w:shd w:val="clear" w:color="000000" w:fill="FFFFFF"/>
            <w:noWrap/>
            <w:vAlign w:val="bottom"/>
            <w:hideMark/>
          </w:tcPr>
          <w:p w14:paraId="2EC208C3"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2 (33.3)</w:t>
            </w:r>
          </w:p>
        </w:tc>
        <w:tc>
          <w:tcPr>
            <w:tcW w:w="2804" w:type="dxa"/>
            <w:shd w:val="clear" w:color="auto" w:fill="auto"/>
            <w:noWrap/>
            <w:vAlign w:val="center"/>
            <w:hideMark/>
          </w:tcPr>
          <w:p w14:paraId="64D6F5CE"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2 (11.1)</w:t>
            </w:r>
          </w:p>
        </w:tc>
      </w:tr>
      <w:tr w:rsidR="00C44CCD" w:rsidRPr="00C44CCD" w14:paraId="46C6D32C" w14:textId="77777777" w:rsidTr="008734C8">
        <w:trPr>
          <w:trHeight w:val="360"/>
        </w:trPr>
        <w:tc>
          <w:tcPr>
            <w:tcW w:w="3402" w:type="dxa"/>
            <w:shd w:val="clear" w:color="000000" w:fill="FFFFFF"/>
            <w:noWrap/>
            <w:vAlign w:val="center"/>
            <w:hideMark/>
          </w:tcPr>
          <w:p w14:paraId="27A2F29A"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(1+)</w:t>
            </w:r>
          </w:p>
        </w:tc>
        <w:tc>
          <w:tcPr>
            <w:tcW w:w="2694" w:type="dxa"/>
            <w:shd w:val="clear" w:color="000000" w:fill="FFFFFF"/>
            <w:noWrap/>
            <w:vAlign w:val="bottom"/>
            <w:hideMark/>
          </w:tcPr>
          <w:p w14:paraId="3141B3D2"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0 (0.0)</w:t>
            </w:r>
          </w:p>
        </w:tc>
        <w:tc>
          <w:tcPr>
            <w:tcW w:w="2804" w:type="dxa"/>
            <w:shd w:val="clear" w:color="auto" w:fill="auto"/>
            <w:noWrap/>
            <w:vAlign w:val="center"/>
            <w:hideMark/>
          </w:tcPr>
          <w:p w14:paraId="409C49C5"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4 (22.2)</w:t>
            </w:r>
          </w:p>
        </w:tc>
      </w:tr>
      <w:tr w:rsidR="00C44CCD" w:rsidRPr="00C44CCD" w14:paraId="7B1920BB" w14:textId="77777777" w:rsidTr="008734C8">
        <w:trPr>
          <w:trHeight w:val="360"/>
        </w:trPr>
        <w:tc>
          <w:tcPr>
            <w:tcW w:w="3402" w:type="dxa"/>
            <w:shd w:val="clear" w:color="000000" w:fill="FFFFFF"/>
            <w:noWrap/>
            <w:vAlign w:val="center"/>
            <w:hideMark/>
          </w:tcPr>
          <w:p w14:paraId="54A01932"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(2+)</w:t>
            </w:r>
          </w:p>
        </w:tc>
        <w:tc>
          <w:tcPr>
            <w:tcW w:w="2694" w:type="dxa"/>
            <w:shd w:val="clear" w:color="000000" w:fill="FFFFFF"/>
            <w:noWrap/>
            <w:vAlign w:val="bottom"/>
            <w:hideMark/>
          </w:tcPr>
          <w:p w14:paraId="1CF387AE"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1 (16.7)</w:t>
            </w:r>
          </w:p>
        </w:tc>
        <w:tc>
          <w:tcPr>
            <w:tcW w:w="2804" w:type="dxa"/>
            <w:shd w:val="clear" w:color="auto" w:fill="auto"/>
            <w:noWrap/>
            <w:vAlign w:val="center"/>
            <w:hideMark/>
          </w:tcPr>
          <w:p w14:paraId="45A8E2FF"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1 (5.6)</w:t>
            </w:r>
          </w:p>
        </w:tc>
      </w:tr>
      <w:tr w:rsidR="00C44CCD" w:rsidRPr="00C44CCD" w14:paraId="5E89B454" w14:textId="77777777" w:rsidTr="008734C8">
        <w:trPr>
          <w:trHeight w:val="360"/>
        </w:trPr>
        <w:tc>
          <w:tcPr>
            <w:tcW w:w="3402" w:type="dxa"/>
            <w:shd w:val="clear" w:color="000000" w:fill="FFFFFF"/>
            <w:noWrap/>
            <w:vAlign w:val="center"/>
            <w:hideMark/>
          </w:tcPr>
          <w:p w14:paraId="0E09ACCF"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H</w:t>
            </w:r>
            <w:r w:rsidRPr="00C44CCD">
              <w:rPr>
                <w:rFonts w:ascii="Times New Roman" w:hAnsi="Times New Roman" w:cs="Times New Roman" w:hint="eastAsia"/>
                <w:b/>
                <w:bCs/>
                <w:sz w:val="20"/>
                <w:szCs w:val="20"/>
              </w:rPr>
              <w:t>istological</w:t>
            </w:r>
            <w:r w:rsidRPr="00C44CCD">
              <w:rPr>
                <w:rFonts w:ascii="Times New Roman" w:eastAsia="游ゴシック" w:hAnsi="Times New Roman" w:cs="Times New Roman"/>
                <w:b/>
                <w:bCs/>
                <w:color w:val="000000"/>
                <w:kern w:val="0"/>
                <w:sz w:val="20"/>
                <w:szCs w:val="20"/>
              </w:rPr>
              <w:t xml:space="preserve"> main stage</w:t>
            </w:r>
          </w:p>
        </w:tc>
        <w:tc>
          <w:tcPr>
            <w:tcW w:w="2694" w:type="dxa"/>
            <w:shd w:val="clear" w:color="000000" w:fill="FFFFFF"/>
            <w:noWrap/>
            <w:vAlign w:val="bottom"/>
            <w:hideMark/>
          </w:tcPr>
          <w:p w14:paraId="243732E1"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　</w:t>
            </w:r>
          </w:p>
        </w:tc>
        <w:tc>
          <w:tcPr>
            <w:tcW w:w="2804" w:type="dxa"/>
            <w:shd w:val="clear" w:color="000000" w:fill="FFFFFF"/>
            <w:noWrap/>
            <w:vAlign w:val="center"/>
            <w:hideMark/>
          </w:tcPr>
          <w:p w14:paraId="74A7A59F"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　</w:t>
            </w:r>
          </w:p>
        </w:tc>
      </w:tr>
      <w:tr w:rsidR="00C44CCD" w:rsidRPr="00C44CCD" w14:paraId="433F09B6" w14:textId="77777777" w:rsidTr="008734C8">
        <w:trPr>
          <w:trHeight w:val="360"/>
        </w:trPr>
        <w:tc>
          <w:tcPr>
            <w:tcW w:w="3402" w:type="dxa"/>
            <w:shd w:val="clear" w:color="000000" w:fill="FFFFFF"/>
            <w:noWrap/>
            <w:vAlign w:val="center"/>
            <w:hideMark/>
          </w:tcPr>
          <w:p w14:paraId="63D7E630"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Stage A</w:t>
            </w:r>
          </w:p>
        </w:tc>
        <w:tc>
          <w:tcPr>
            <w:tcW w:w="2694" w:type="dxa"/>
            <w:shd w:val="clear" w:color="000000" w:fill="FFFFFF"/>
            <w:noWrap/>
            <w:vAlign w:val="bottom"/>
            <w:hideMark/>
          </w:tcPr>
          <w:p w14:paraId="6CA699F3"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2 (33.3)</w:t>
            </w:r>
          </w:p>
        </w:tc>
        <w:tc>
          <w:tcPr>
            <w:tcW w:w="2804" w:type="dxa"/>
            <w:shd w:val="clear" w:color="auto" w:fill="auto"/>
            <w:noWrap/>
            <w:vAlign w:val="center"/>
            <w:hideMark/>
          </w:tcPr>
          <w:p w14:paraId="4E6CE94D"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4 (22.2)</w:t>
            </w:r>
          </w:p>
        </w:tc>
      </w:tr>
      <w:tr w:rsidR="00C44CCD" w:rsidRPr="00C44CCD" w14:paraId="34E048F0" w14:textId="77777777" w:rsidTr="008734C8">
        <w:trPr>
          <w:trHeight w:val="360"/>
        </w:trPr>
        <w:tc>
          <w:tcPr>
            <w:tcW w:w="3402" w:type="dxa"/>
            <w:shd w:val="clear" w:color="000000" w:fill="FFFFFF"/>
            <w:noWrap/>
            <w:vAlign w:val="center"/>
            <w:hideMark/>
          </w:tcPr>
          <w:p w14:paraId="646463AE"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Stage B</w:t>
            </w:r>
          </w:p>
        </w:tc>
        <w:tc>
          <w:tcPr>
            <w:tcW w:w="2694" w:type="dxa"/>
            <w:shd w:val="clear" w:color="000000" w:fill="FFFFFF"/>
            <w:noWrap/>
            <w:vAlign w:val="bottom"/>
            <w:hideMark/>
          </w:tcPr>
          <w:p w14:paraId="7A50FEDF"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4 (66.7)</w:t>
            </w:r>
          </w:p>
        </w:tc>
        <w:tc>
          <w:tcPr>
            <w:tcW w:w="2804" w:type="dxa"/>
            <w:shd w:val="clear" w:color="auto" w:fill="auto"/>
            <w:noWrap/>
            <w:vAlign w:val="center"/>
            <w:hideMark/>
          </w:tcPr>
          <w:p w14:paraId="104EAA19"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11 (61.1)</w:t>
            </w:r>
          </w:p>
        </w:tc>
      </w:tr>
      <w:tr w:rsidR="00C44CCD" w:rsidRPr="00C44CCD" w14:paraId="4CC994CF" w14:textId="77777777" w:rsidTr="008734C8">
        <w:trPr>
          <w:trHeight w:val="360"/>
        </w:trPr>
        <w:tc>
          <w:tcPr>
            <w:tcW w:w="3402" w:type="dxa"/>
            <w:tcBorders>
              <w:bottom w:val="single" w:sz="4" w:space="0" w:color="auto"/>
            </w:tcBorders>
            <w:shd w:val="clear" w:color="000000" w:fill="FFFFFF"/>
            <w:noWrap/>
            <w:vAlign w:val="center"/>
            <w:hideMark/>
          </w:tcPr>
          <w:p w14:paraId="1B5B0072" w14:textId="77777777" w:rsidR="00C44CCD" w:rsidRPr="00C44CCD" w:rsidRDefault="00C44CCD" w:rsidP="00C44CCD">
            <w:pPr>
              <w:widowControl/>
              <w:jc w:val="left"/>
              <w:rPr>
                <w:rFonts w:ascii="Times New Roman" w:eastAsia="游ゴシック" w:hAnsi="Times New Roman" w:cs="Times New Roman"/>
                <w:b/>
                <w:bCs/>
                <w:color w:val="000000"/>
                <w:kern w:val="0"/>
                <w:sz w:val="20"/>
                <w:szCs w:val="20"/>
              </w:rPr>
            </w:pPr>
            <w:r w:rsidRPr="00C44CCD">
              <w:rPr>
                <w:rFonts w:ascii="Times New Roman" w:eastAsia="游ゴシック" w:hAnsi="Times New Roman" w:cs="Times New Roman"/>
                <w:b/>
                <w:bCs/>
                <w:color w:val="000000"/>
                <w:kern w:val="0"/>
                <w:sz w:val="20"/>
                <w:szCs w:val="20"/>
              </w:rPr>
              <w:t xml:space="preserve"> Stage C</w:t>
            </w:r>
          </w:p>
        </w:tc>
        <w:tc>
          <w:tcPr>
            <w:tcW w:w="2694" w:type="dxa"/>
            <w:tcBorders>
              <w:bottom w:val="single" w:sz="4" w:space="0" w:color="auto"/>
            </w:tcBorders>
            <w:shd w:val="clear" w:color="000000" w:fill="FFFFFF"/>
            <w:noWrap/>
            <w:vAlign w:val="bottom"/>
            <w:hideMark/>
          </w:tcPr>
          <w:p w14:paraId="0D2CE66A"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0 (0.0)</w:t>
            </w:r>
          </w:p>
        </w:tc>
        <w:tc>
          <w:tcPr>
            <w:tcW w:w="2804" w:type="dxa"/>
            <w:tcBorders>
              <w:bottom w:val="single" w:sz="4" w:space="0" w:color="auto"/>
            </w:tcBorders>
            <w:shd w:val="clear" w:color="auto" w:fill="auto"/>
            <w:noWrap/>
            <w:vAlign w:val="center"/>
            <w:hideMark/>
          </w:tcPr>
          <w:p w14:paraId="0E90318D" w14:textId="77777777" w:rsidR="00C44CCD" w:rsidRPr="00C44CCD" w:rsidRDefault="00C44CCD" w:rsidP="00C44CCD">
            <w:pPr>
              <w:widowControl/>
              <w:jc w:val="cente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3 (16.7)</w:t>
            </w:r>
          </w:p>
        </w:tc>
      </w:tr>
    </w:tbl>
    <w:p w14:paraId="6C5EB7F1" w14:textId="77777777" w:rsidR="003876AC" w:rsidRPr="00C44CCD" w:rsidRDefault="003876AC" w:rsidP="003876AC">
      <w:pPr>
        <w:rPr>
          <w:rFonts w:ascii="Times New Roman" w:eastAsia="游ゴシック" w:hAnsi="Times New Roman" w:cs="Times New Roman"/>
          <w:color w:val="000000"/>
          <w:kern w:val="0"/>
          <w:sz w:val="20"/>
          <w:szCs w:val="20"/>
        </w:rPr>
      </w:pPr>
      <w:r w:rsidRPr="00C44CCD">
        <w:rPr>
          <w:rFonts w:ascii="Times New Roman" w:eastAsia="游ゴシック" w:hAnsi="Times New Roman" w:cs="Times New Roman"/>
          <w:color w:val="000000"/>
          <w:kern w:val="0"/>
          <w:sz w:val="20"/>
          <w:szCs w:val="20"/>
        </w:rPr>
        <w:t xml:space="preserve">a Because there were patients who had renal biopsy before IgG4-related TIN became a recognized entity. </w:t>
      </w:r>
    </w:p>
    <w:p w14:paraId="6A0F5C9C" w14:textId="2AAB463D" w:rsidR="005603F3" w:rsidRPr="00C44CCD" w:rsidRDefault="003876AC" w:rsidP="00991D0D">
      <w:pPr>
        <w:rPr>
          <w:rFonts w:ascii="Times New Roman" w:hAnsi="Times New Roman" w:cs="Times New Roman"/>
          <w:sz w:val="20"/>
          <w:szCs w:val="20"/>
        </w:rPr>
      </w:pPr>
      <w:r w:rsidRPr="00C44CCD">
        <w:rPr>
          <w:rFonts w:ascii="Times New Roman" w:eastAsia="游ゴシック" w:hAnsi="Times New Roman" w:cs="Times New Roman"/>
          <w:color w:val="000000"/>
          <w:kern w:val="0"/>
          <w:sz w:val="20"/>
          <w:szCs w:val="20"/>
        </w:rPr>
        <w:t>Abbreviations: Cr, creatinine; eGFR, estimated glomerular filtration</w:t>
      </w:r>
      <w:r w:rsidR="00991D0D" w:rsidRPr="00C44CCD">
        <w:rPr>
          <w:rFonts w:ascii="Times New Roman" w:eastAsia="游ゴシック" w:hAnsi="Times New Roman" w:cs="Times New Roman" w:hint="eastAsia"/>
          <w:color w:val="000000"/>
          <w:kern w:val="0"/>
          <w:sz w:val="20"/>
          <w:szCs w:val="20"/>
        </w:rPr>
        <w:t xml:space="preserve"> </w:t>
      </w:r>
      <w:r w:rsidR="00991D0D" w:rsidRPr="00C44CCD">
        <w:rPr>
          <w:rFonts w:ascii="Times New Roman" w:eastAsia="游ゴシック" w:hAnsi="Times New Roman" w:cs="Times New Roman"/>
          <w:color w:val="000000"/>
          <w:kern w:val="0"/>
          <w:sz w:val="20"/>
          <w:szCs w:val="20"/>
        </w:rPr>
        <w:t xml:space="preserve">rate. </w:t>
      </w:r>
    </w:p>
    <w:sectPr w:rsidR="005603F3" w:rsidRPr="00C44CCD" w:rsidSect="00D46F6E">
      <w:pgSz w:w="11906" w:h="16838"/>
      <w:pgMar w:top="1701" w:right="1701" w:bottom="1985"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018C37" w14:textId="77777777" w:rsidR="005C6FA6" w:rsidRDefault="005C6FA6" w:rsidP="00EE2380">
      <w:r>
        <w:separator/>
      </w:r>
    </w:p>
  </w:endnote>
  <w:endnote w:type="continuationSeparator" w:id="0">
    <w:p w14:paraId="21924ED3" w14:textId="77777777" w:rsidR="005C6FA6" w:rsidRDefault="005C6FA6" w:rsidP="00EE2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8951167"/>
      <w:docPartObj>
        <w:docPartGallery w:val="Page Numbers (Bottom of Page)"/>
        <w:docPartUnique/>
      </w:docPartObj>
    </w:sdtPr>
    <w:sdtEndPr/>
    <w:sdtContent>
      <w:p w14:paraId="7A175831" w14:textId="365CED14" w:rsidR="00B37499" w:rsidRDefault="00B37499">
        <w:pPr>
          <w:pStyle w:val="a5"/>
          <w:jc w:val="center"/>
        </w:pPr>
        <w:r>
          <w:fldChar w:fldCharType="begin"/>
        </w:r>
        <w:r>
          <w:instrText>PAGE   \* MERGEFORMAT</w:instrText>
        </w:r>
        <w:r>
          <w:fldChar w:fldCharType="separate"/>
        </w:r>
        <w:r w:rsidR="0030601A" w:rsidRPr="0030601A">
          <w:rPr>
            <w:noProof/>
            <w:lang w:val="ja-JP"/>
          </w:rPr>
          <w:t>1</w:t>
        </w:r>
        <w:r>
          <w:fldChar w:fldCharType="end"/>
        </w:r>
      </w:p>
    </w:sdtContent>
  </w:sdt>
  <w:p w14:paraId="414837A8" w14:textId="77777777" w:rsidR="00B37499" w:rsidRDefault="00B3749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0C8E4C" w14:textId="77777777" w:rsidR="005C6FA6" w:rsidRDefault="005C6FA6" w:rsidP="00EE2380">
      <w:r>
        <w:separator/>
      </w:r>
    </w:p>
  </w:footnote>
  <w:footnote w:type="continuationSeparator" w:id="0">
    <w:p w14:paraId="44E0772E" w14:textId="77777777" w:rsidR="005C6FA6" w:rsidRDefault="005C6FA6" w:rsidP="00EE2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E9F"/>
    <w:rsid w:val="000222F9"/>
    <w:rsid w:val="000404BD"/>
    <w:rsid w:val="00055691"/>
    <w:rsid w:val="0005772A"/>
    <w:rsid w:val="00091F1C"/>
    <w:rsid w:val="000F27AF"/>
    <w:rsid w:val="00107F86"/>
    <w:rsid w:val="001208BE"/>
    <w:rsid w:val="00135F54"/>
    <w:rsid w:val="0015225A"/>
    <w:rsid w:val="001749CE"/>
    <w:rsid w:val="001872D6"/>
    <w:rsid w:val="001D01A9"/>
    <w:rsid w:val="001D489D"/>
    <w:rsid w:val="001F2527"/>
    <w:rsid w:val="00210B37"/>
    <w:rsid w:val="002123F5"/>
    <w:rsid w:val="0022385F"/>
    <w:rsid w:val="00261181"/>
    <w:rsid w:val="00295E22"/>
    <w:rsid w:val="002E157F"/>
    <w:rsid w:val="002E6CA4"/>
    <w:rsid w:val="00302ECF"/>
    <w:rsid w:val="00305084"/>
    <w:rsid w:val="003052BA"/>
    <w:rsid w:val="0030601A"/>
    <w:rsid w:val="00321D8E"/>
    <w:rsid w:val="00330404"/>
    <w:rsid w:val="003400B0"/>
    <w:rsid w:val="00345E34"/>
    <w:rsid w:val="003744D8"/>
    <w:rsid w:val="003876AC"/>
    <w:rsid w:val="003A1F83"/>
    <w:rsid w:val="003A617B"/>
    <w:rsid w:val="003B56E8"/>
    <w:rsid w:val="003D1023"/>
    <w:rsid w:val="003D7DA0"/>
    <w:rsid w:val="003E1422"/>
    <w:rsid w:val="003E28DD"/>
    <w:rsid w:val="00415303"/>
    <w:rsid w:val="00474915"/>
    <w:rsid w:val="0048427B"/>
    <w:rsid w:val="004A446E"/>
    <w:rsid w:val="004F5993"/>
    <w:rsid w:val="00501339"/>
    <w:rsid w:val="0050317C"/>
    <w:rsid w:val="0050602C"/>
    <w:rsid w:val="00515A03"/>
    <w:rsid w:val="00524F87"/>
    <w:rsid w:val="0053320E"/>
    <w:rsid w:val="00534217"/>
    <w:rsid w:val="005374F8"/>
    <w:rsid w:val="0055655D"/>
    <w:rsid w:val="005603F3"/>
    <w:rsid w:val="00566775"/>
    <w:rsid w:val="005835A2"/>
    <w:rsid w:val="005B4EA9"/>
    <w:rsid w:val="005C2E52"/>
    <w:rsid w:val="005C4C8B"/>
    <w:rsid w:val="005C6FA6"/>
    <w:rsid w:val="005D17CC"/>
    <w:rsid w:val="0060308D"/>
    <w:rsid w:val="0062336C"/>
    <w:rsid w:val="00652253"/>
    <w:rsid w:val="006B79AF"/>
    <w:rsid w:val="006D6AC5"/>
    <w:rsid w:val="006F6F46"/>
    <w:rsid w:val="0072275D"/>
    <w:rsid w:val="0072794C"/>
    <w:rsid w:val="00732389"/>
    <w:rsid w:val="007328D4"/>
    <w:rsid w:val="00740DD3"/>
    <w:rsid w:val="00752A60"/>
    <w:rsid w:val="00755735"/>
    <w:rsid w:val="00771AF0"/>
    <w:rsid w:val="00772D41"/>
    <w:rsid w:val="007749DC"/>
    <w:rsid w:val="00794BCF"/>
    <w:rsid w:val="007A2A5B"/>
    <w:rsid w:val="007A748D"/>
    <w:rsid w:val="007B369E"/>
    <w:rsid w:val="007C30AA"/>
    <w:rsid w:val="007C5375"/>
    <w:rsid w:val="007E3CC5"/>
    <w:rsid w:val="007E4D44"/>
    <w:rsid w:val="007F0417"/>
    <w:rsid w:val="007F3D4F"/>
    <w:rsid w:val="00806696"/>
    <w:rsid w:val="00812027"/>
    <w:rsid w:val="00817734"/>
    <w:rsid w:val="00830509"/>
    <w:rsid w:val="008554B4"/>
    <w:rsid w:val="00855F06"/>
    <w:rsid w:val="008657A7"/>
    <w:rsid w:val="008734C8"/>
    <w:rsid w:val="00875960"/>
    <w:rsid w:val="00885791"/>
    <w:rsid w:val="0088620D"/>
    <w:rsid w:val="00893E34"/>
    <w:rsid w:val="008A3FA7"/>
    <w:rsid w:val="008A5866"/>
    <w:rsid w:val="008D1141"/>
    <w:rsid w:val="008D7378"/>
    <w:rsid w:val="008F1B2C"/>
    <w:rsid w:val="008F6329"/>
    <w:rsid w:val="0094093B"/>
    <w:rsid w:val="00953B33"/>
    <w:rsid w:val="00957AD1"/>
    <w:rsid w:val="0097778C"/>
    <w:rsid w:val="00991D0D"/>
    <w:rsid w:val="00996FCD"/>
    <w:rsid w:val="009972B0"/>
    <w:rsid w:val="009A5730"/>
    <w:rsid w:val="009C64C0"/>
    <w:rsid w:val="009D41EC"/>
    <w:rsid w:val="009E3477"/>
    <w:rsid w:val="00A23D41"/>
    <w:rsid w:val="00A36CC1"/>
    <w:rsid w:val="00A47603"/>
    <w:rsid w:val="00A556EC"/>
    <w:rsid w:val="00A736D3"/>
    <w:rsid w:val="00AA7F05"/>
    <w:rsid w:val="00AB17AA"/>
    <w:rsid w:val="00AB5945"/>
    <w:rsid w:val="00AC59BE"/>
    <w:rsid w:val="00AE4A67"/>
    <w:rsid w:val="00AF3306"/>
    <w:rsid w:val="00B31AFE"/>
    <w:rsid w:val="00B37499"/>
    <w:rsid w:val="00B435DA"/>
    <w:rsid w:val="00B471A0"/>
    <w:rsid w:val="00B57C48"/>
    <w:rsid w:val="00B91A2D"/>
    <w:rsid w:val="00BD45AF"/>
    <w:rsid w:val="00C005D7"/>
    <w:rsid w:val="00C05C80"/>
    <w:rsid w:val="00C23156"/>
    <w:rsid w:val="00C25992"/>
    <w:rsid w:val="00C3764E"/>
    <w:rsid w:val="00C44CCD"/>
    <w:rsid w:val="00C4679D"/>
    <w:rsid w:val="00C648C6"/>
    <w:rsid w:val="00C90161"/>
    <w:rsid w:val="00CD1128"/>
    <w:rsid w:val="00CD2434"/>
    <w:rsid w:val="00CD7A21"/>
    <w:rsid w:val="00CE05A8"/>
    <w:rsid w:val="00CE58BA"/>
    <w:rsid w:val="00CF4A9D"/>
    <w:rsid w:val="00D46F6E"/>
    <w:rsid w:val="00D51A56"/>
    <w:rsid w:val="00D85977"/>
    <w:rsid w:val="00DB0CC3"/>
    <w:rsid w:val="00DC2271"/>
    <w:rsid w:val="00DC526B"/>
    <w:rsid w:val="00DE221C"/>
    <w:rsid w:val="00DE226E"/>
    <w:rsid w:val="00DE2F20"/>
    <w:rsid w:val="00E02C00"/>
    <w:rsid w:val="00E24606"/>
    <w:rsid w:val="00E27458"/>
    <w:rsid w:val="00E379D9"/>
    <w:rsid w:val="00E70FBE"/>
    <w:rsid w:val="00EA0842"/>
    <w:rsid w:val="00EA4452"/>
    <w:rsid w:val="00EB4C62"/>
    <w:rsid w:val="00EC6416"/>
    <w:rsid w:val="00ED5340"/>
    <w:rsid w:val="00EE2380"/>
    <w:rsid w:val="00EE7D76"/>
    <w:rsid w:val="00F32A17"/>
    <w:rsid w:val="00F356BA"/>
    <w:rsid w:val="00F66AAA"/>
    <w:rsid w:val="00F66E9F"/>
    <w:rsid w:val="00F755D9"/>
    <w:rsid w:val="00F8171B"/>
    <w:rsid w:val="00F85E85"/>
    <w:rsid w:val="00FA0E6F"/>
    <w:rsid w:val="00FB12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715BCCD"/>
  <w15:docId w15:val="{F94773F0-EFF2-4644-8003-3F28CD5D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2380"/>
    <w:pPr>
      <w:tabs>
        <w:tab w:val="center" w:pos="4252"/>
        <w:tab w:val="right" w:pos="8504"/>
      </w:tabs>
      <w:snapToGrid w:val="0"/>
    </w:pPr>
  </w:style>
  <w:style w:type="character" w:customStyle="1" w:styleId="a4">
    <w:name w:val="ヘッダー (文字)"/>
    <w:basedOn w:val="a0"/>
    <w:link w:val="a3"/>
    <w:uiPriority w:val="99"/>
    <w:rsid w:val="00EE2380"/>
  </w:style>
  <w:style w:type="paragraph" w:styleId="a5">
    <w:name w:val="footer"/>
    <w:basedOn w:val="a"/>
    <w:link w:val="a6"/>
    <w:uiPriority w:val="99"/>
    <w:unhideWhenUsed/>
    <w:rsid w:val="00EE2380"/>
    <w:pPr>
      <w:tabs>
        <w:tab w:val="center" w:pos="4252"/>
        <w:tab w:val="right" w:pos="8504"/>
      </w:tabs>
      <w:snapToGrid w:val="0"/>
    </w:pPr>
  </w:style>
  <w:style w:type="character" w:customStyle="1" w:styleId="a6">
    <w:name w:val="フッター (文字)"/>
    <w:basedOn w:val="a0"/>
    <w:link w:val="a5"/>
    <w:uiPriority w:val="99"/>
    <w:rsid w:val="00EE2380"/>
  </w:style>
  <w:style w:type="paragraph" w:styleId="a7">
    <w:name w:val="Balloon Text"/>
    <w:basedOn w:val="a"/>
    <w:link w:val="a8"/>
    <w:uiPriority w:val="99"/>
    <w:semiHidden/>
    <w:unhideWhenUsed/>
    <w:rsid w:val="008657A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657A7"/>
    <w:rPr>
      <w:rFonts w:asciiTheme="majorHAnsi" w:eastAsiaTheme="majorEastAsia" w:hAnsiTheme="majorHAnsi" w:cstheme="majorBidi"/>
      <w:sz w:val="18"/>
      <w:szCs w:val="18"/>
    </w:rPr>
  </w:style>
  <w:style w:type="character" w:customStyle="1" w:styleId="normaltextrun">
    <w:name w:val="normaltextrun"/>
    <w:basedOn w:val="a0"/>
    <w:rsid w:val="00BD45AF"/>
  </w:style>
  <w:style w:type="character" w:styleId="a9">
    <w:name w:val="annotation reference"/>
    <w:basedOn w:val="a0"/>
    <w:uiPriority w:val="99"/>
    <w:semiHidden/>
    <w:unhideWhenUsed/>
    <w:rsid w:val="00BD45AF"/>
    <w:rPr>
      <w:sz w:val="18"/>
      <w:szCs w:val="18"/>
    </w:rPr>
  </w:style>
  <w:style w:type="paragraph" w:styleId="aa">
    <w:name w:val="annotation text"/>
    <w:basedOn w:val="a"/>
    <w:link w:val="ab"/>
    <w:uiPriority w:val="99"/>
    <w:unhideWhenUsed/>
    <w:rsid w:val="00BD45AF"/>
    <w:pPr>
      <w:jc w:val="left"/>
    </w:pPr>
  </w:style>
  <w:style w:type="character" w:customStyle="1" w:styleId="ab">
    <w:name w:val="コメント文字列 (文字)"/>
    <w:basedOn w:val="a0"/>
    <w:link w:val="aa"/>
    <w:uiPriority w:val="99"/>
    <w:rsid w:val="00BD45AF"/>
  </w:style>
  <w:style w:type="paragraph" w:styleId="ac">
    <w:name w:val="endnote text"/>
    <w:basedOn w:val="a"/>
    <w:link w:val="ad"/>
    <w:uiPriority w:val="99"/>
    <w:semiHidden/>
    <w:unhideWhenUsed/>
    <w:rsid w:val="007C5375"/>
    <w:pPr>
      <w:snapToGrid w:val="0"/>
      <w:jc w:val="left"/>
    </w:pPr>
  </w:style>
  <w:style w:type="character" w:customStyle="1" w:styleId="ad">
    <w:name w:val="文末脚注文字列 (文字)"/>
    <w:basedOn w:val="a0"/>
    <w:link w:val="ac"/>
    <w:uiPriority w:val="99"/>
    <w:semiHidden/>
    <w:rsid w:val="007C5375"/>
  </w:style>
  <w:style w:type="character" w:styleId="ae">
    <w:name w:val="endnote reference"/>
    <w:basedOn w:val="a0"/>
    <w:uiPriority w:val="99"/>
    <w:semiHidden/>
    <w:unhideWhenUsed/>
    <w:rsid w:val="007C5375"/>
    <w:rPr>
      <w:vertAlign w:val="superscript"/>
    </w:rPr>
  </w:style>
  <w:style w:type="table" w:styleId="af">
    <w:name w:val="Table Grid"/>
    <w:basedOn w:val="a1"/>
    <w:uiPriority w:val="39"/>
    <w:rsid w:val="000577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8554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8554B4"/>
    <w:rPr>
      <w:rFonts w:ascii="ＭＳ ゴシック" w:eastAsia="ＭＳ ゴシック" w:hAnsi="ＭＳ ゴシック" w:cs="ＭＳ ゴシック"/>
      <w:kern w:val="0"/>
      <w:sz w:val="24"/>
      <w:szCs w:val="24"/>
    </w:rPr>
  </w:style>
  <w:style w:type="character" w:styleId="af0">
    <w:name w:val="Hyperlink"/>
    <w:basedOn w:val="a0"/>
    <w:uiPriority w:val="99"/>
    <w:unhideWhenUsed/>
    <w:rsid w:val="00A736D3"/>
    <w:rPr>
      <w:color w:val="0563C1" w:themeColor="hyperlink"/>
      <w:u w:val="single"/>
    </w:rPr>
  </w:style>
  <w:style w:type="character" w:customStyle="1" w:styleId="1">
    <w:name w:val="未解決のメンション1"/>
    <w:basedOn w:val="a0"/>
    <w:uiPriority w:val="99"/>
    <w:semiHidden/>
    <w:unhideWhenUsed/>
    <w:rsid w:val="00A736D3"/>
    <w:rPr>
      <w:color w:val="605E5C"/>
      <w:shd w:val="clear" w:color="auto" w:fill="E1DFDD"/>
    </w:rPr>
  </w:style>
  <w:style w:type="paragraph" w:styleId="af1">
    <w:name w:val="annotation subject"/>
    <w:basedOn w:val="aa"/>
    <w:next w:val="aa"/>
    <w:link w:val="af2"/>
    <w:uiPriority w:val="99"/>
    <w:semiHidden/>
    <w:unhideWhenUsed/>
    <w:rsid w:val="00501339"/>
    <w:rPr>
      <w:b/>
      <w:bCs/>
    </w:rPr>
  </w:style>
  <w:style w:type="character" w:customStyle="1" w:styleId="af2">
    <w:name w:val="コメント内容 (文字)"/>
    <w:basedOn w:val="ab"/>
    <w:link w:val="af1"/>
    <w:uiPriority w:val="99"/>
    <w:semiHidden/>
    <w:rsid w:val="00501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124865">
      <w:bodyDiv w:val="1"/>
      <w:marLeft w:val="0"/>
      <w:marRight w:val="0"/>
      <w:marTop w:val="0"/>
      <w:marBottom w:val="0"/>
      <w:divBdr>
        <w:top w:val="none" w:sz="0" w:space="0" w:color="auto"/>
        <w:left w:val="none" w:sz="0" w:space="0" w:color="auto"/>
        <w:bottom w:val="none" w:sz="0" w:space="0" w:color="auto"/>
        <w:right w:val="none" w:sz="0" w:space="0" w:color="auto"/>
      </w:divBdr>
    </w:div>
    <w:div w:id="561328145">
      <w:bodyDiv w:val="1"/>
      <w:marLeft w:val="0"/>
      <w:marRight w:val="0"/>
      <w:marTop w:val="0"/>
      <w:marBottom w:val="0"/>
      <w:divBdr>
        <w:top w:val="none" w:sz="0" w:space="0" w:color="auto"/>
        <w:left w:val="none" w:sz="0" w:space="0" w:color="auto"/>
        <w:bottom w:val="none" w:sz="0" w:space="0" w:color="auto"/>
        <w:right w:val="none" w:sz="0" w:space="0" w:color="auto"/>
      </w:divBdr>
    </w:div>
    <w:div w:id="780033529">
      <w:bodyDiv w:val="1"/>
      <w:marLeft w:val="0"/>
      <w:marRight w:val="0"/>
      <w:marTop w:val="0"/>
      <w:marBottom w:val="0"/>
      <w:divBdr>
        <w:top w:val="none" w:sz="0" w:space="0" w:color="auto"/>
        <w:left w:val="none" w:sz="0" w:space="0" w:color="auto"/>
        <w:bottom w:val="none" w:sz="0" w:space="0" w:color="auto"/>
        <w:right w:val="none" w:sz="0" w:space="0" w:color="auto"/>
      </w:divBdr>
    </w:div>
    <w:div w:id="827987685">
      <w:bodyDiv w:val="1"/>
      <w:marLeft w:val="0"/>
      <w:marRight w:val="0"/>
      <w:marTop w:val="0"/>
      <w:marBottom w:val="0"/>
      <w:divBdr>
        <w:top w:val="none" w:sz="0" w:space="0" w:color="auto"/>
        <w:left w:val="none" w:sz="0" w:space="0" w:color="auto"/>
        <w:bottom w:val="none" w:sz="0" w:space="0" w:color="auto"/>
        <w:right w:val="none" w:sz="0" w:space="0" w:color="auto"/>
      </w:divBdr>
    </w:div>
    <w:div w:id="913466430">
      <w:bodyDiv w:val="1"/>
      <w:marLeft w:val="0"/>
      <w:marRight w:val="0"/>
      <w:marTop w:val="0"/>
      <w:marBottom w:val="0"/>
      <w:divBdr>
        <w:top w:val="none" w:sz="0" w:space="0" w:color="auto"/>
        <w:left w:val="none" w:sz="0" w:space="0" w:color="auto"/>
        <w:bottom w:val="none" w:sz="0" w:space="0" w:color="auto"/>
        <w:right w:val="none" w:sz="0" w:space="0" w:color="auto"/>
      </w:divBdr>
    </w:div>
    <w:div w:id="1106851359">
      <w:bodyDiv w:val="1"/>
      <w:marLeft w:val="0"/>
      <w:marRight w:val="0"/>
      <w:marTop w:val="0"/>
      <w:marBottom w:val="0"/>
      <w:divBdr>
        <w:top w:val="none" w:sz="0" w:space="0" w:color="auto"/>
        <w:left w:val="none" w:sz="0" w:space="0" w:color="auto"/>
        <w:bottom w:val="none" w:sz="0" w:space="0" w:color="auto"/>
        <w:right w:val="none" w:sz="0" w:space="0" w:color="auto"/>
      </w:divBdr>
    </w:div>
    <w:div w:id="1263341807">
      <w:bodyDiv w:val="1"/>
      <w:marLeft w:val="0"/>
      <w:marRight w:val="0"/>
      <w:marTop w:val="0"/>
      <w:marBottom w:val="0"/>
      <w:divBdr>
        <w:top w:val="none" w:sz="0" w:space="0" w:color="auto"/>
        <w:left w:val="none" w:sz="0" w:space="0" w:color="auto"/>
        <w:bottom w:val="none" w:sz="0" w:space="0" w:color="auto"/>
        <w:right w:val="none" w:sz="0" w:space="0" w:color="auto"/>
      </w:divBdr>
    </w:div>
    <w:div w:id="1395547176">
      <w:bodyDiv w:val="1"/>
      <w:marLeft w:val="0"/>
      <w:marRight w:val="0"/>
      <w:marTop w:val="0"/>
      <w:marBottom w:val="0"/>
      <w:divBdr>
        <w:top w:val="none" w:sz="0" w:space="0" w:color="auto"/>
        <w:left w:val="none" w:sz="0" w:space="0" w:color="auto"/>
        <w:bottom w:val="none" w:sz="0" w:space="0" w:color="auto"/>
        <w:right w:val="none" w:sz="0" w:space="0" w:color="auto"/>
      </w:divBdr>
    </w:div>
    <w:div w:id="1711105636">
      <w:bodyDiv w:val="1"/>
      <w:marLeft w:val="0"/>
      <w:marRight w:val="0"/>
      <w:marTop w:val="0"/>
      <w:marBottom w:val="0"/>
      <w:divBdr>
        <w:top w:val="none" w:sz="0" w:space="0" w:color="auto"/>
        <w:left w:val="none" w:sz="0" w:space="0" w:color="auto"/>
        <w:bottom w:val="none" w:sz="0" w:space="0" w:color="auto"/>
        <w:right w:val="none" w:sz="0" w:space="0" w:color="auto"/>
      </w:divBdr>
    </w:div>
    <w:div w:id="1723825592">
      <w:bodyDiv w:val="1"/>
      <w:marLeft w:val="0"/>
      <w:marRight w:val="0"/>
      <w:marTop w:val="0"/>
      <w:marBottom w:val="0"/>
      <w:divBdr>
        <w:top w:val="none" w:sz="0" w:space="0" w:color="auto"/>
        <w:left w:val="none" w:sz="0" w:space="0" w:color="auto"/>
        <w:bottom w:val="none" w:sz="0" w:space="0" w:color="auto"/>
        <w:right w:val="none" w:sz="0" w:space="0" w:color="auto"/>
      </w:divBdr>
    </w:div>
    <w:div w:id="1750301447">
      <w:bodyDiv w:val="1"/>
      <w:marLeft w:val="0"/>
      <w:marRight w:val="0"/>
      <w:marTop w:val="0"/>
      <w:marBottom w:val="0"/>
      <w:divBdr>
        <w:top w:val="none" w:sz="0" w:space="0" w:color="auto"/>
        <w:left w:val="none" w:sz="0" w:space="0" w:color="auto"/>
        <w:bottom w:val="none" w:sz="0" w:space="0" w:color="auto"/>
        <w:right w:val="none" w:sz="0" w:space="0" w:color="auto"/>
      </w:divBdr>
    </w:div>
    <w:div w:id="1840384417">
      <w:bodyDiv w:val="1"/>
      <w:marLeft w:val="0"/>
      <w:marRight w:val="0"/>
      <w:marTop w:val="0"/>
      <w:marBottom w:val="0"/>
      <w:divBdr>
        <w:top w:val="none" w:sz="0" w:space="0" w:color="auto"/>
        <w:left w:val="none" w:sz="0" w:space="0" w:color="auto"/>
        <w:bottom w:val="none" w:sz="0" w:space="0" w:color="auto"/>
        <w:right w:val="none" w:sz="0" w:space="0" w:color="auto"/>
      </w:divBdr>
    </w:div>
    <w:div w:id="2042245552">
      <w:bodyDiv w:val="1"/>
      <w:marLeft w:val="0"/>
      <w:marRight w:val="0"/>
      <w:marTop w:val="0"/>
      <w:marBottom w:val="0"/>
      <w:divBdr>
        <w:top w:val="none" w:sz="0" w:space="0" w:color="auto"/>
        <w:left w:val="none" w:sz="0" w:space="0" w:color="auto"/>
        <w:bottom w:val="none" w:sz="0" w:space="0" w:color="auto"/>
        <w:right w:val="none" w:sz="0" w:space="0" w:color="auto"/>
      </w:divBdr>
    </w:div>
    <w:div w:id="2093968269">
      <w:bodyDiv w:val="1"/>
      <w:marLeft w:val="0"/>
      <w:marRight w:val="0"/>
      <w:marTop w:val="0"/>
      <w:marBottom w:val="0"/>
      <w:divBdr>
        <w:top w:val="none" w:sz="0" w:space="0" w:color="auto"/>
        <w:left w:val="none" w:sz="0" w:space="0" w:color="auto"/>
        <w:bottom w:val="none" w:sz="0" w:space="0" w:color="auto"/>
        <w:right w:val="none" w:sz="0" w:space="0" w:color="auto"/>
      </w:divBdr>
    </w:div>
    <w:div w:id="211748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409148C4D65E74F954EA0FEC4733833" ma:contentTypeVersion="9" ma:contentTypeDescription="新しいドキュメントを作成します。" ma:contentTypeScope="" ma:versionID="a2d57139982f6fb943284521c3a758f2">
  <xsd:schema xmlns:xsd="http://www.w3.org/2001/XMLSchema" xmlns:xs="http://www.w3.org/2001/XMLSchema" xmlns:p="http://schemas.microsoft.com/office/2006/metadata/properties" xmlns:ns3="59506574-a89f-4223-8466-a30421fed00e" targetNamespace="http://schemas.microsoft.com/office/2006/metadata/properties" ma:root="true" ma:fieldsID="06a22c7bdb2c581680c46debe16137c8" ns3:_="">
    <xsd:import namespace="59506574-a89f-4223-8466-a30421fed00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06574-a89f-4223-8466-a30421fed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EC3230-C388-4506-841A-F76ABF106651}">
  <ds:schemaRefs>
    <ds:schemaRef ds:uri="http://schemas.openxmlformats.org/officeDocument/2006/bibliography"/>
  </ds:schemaRefs>
</ds:datastoreItem>
</file>

<file path=customXml/itemProps2.xml><?xml version="1.0" encoding="utf-8"?>
<ds:datastoreItem xmlns:ds="http://schemas.openxmlformats.org/officeDocument/2006/customXml" ds:itemID="{5A0B2E35-8399-4645-9841-F59DFB81F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06574-a89f-4223-8466-a30421fed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BE3E91-63BB-4CF6-A71D-2BC8D7331ECA}">
  <ds:schemaRefs>
    <ds:schemaRef ds:uri="http://schemas.microsoft.com/sharepoint/v3/contenttype/forms"/>
  </ds:schemaRefs>
</ds:datastoreItem>
</file>

<file path=customXml/itemProps4.xml><?xml version="1.0" encoding="utf-8"?>
<ds:datastoreItem xmlns:ds="http://schemas.openxmlformats.org/officeDocument/2006/customXml" ds:itemID="{DD84E435-7A85-4358-98EC-CC2E78AB883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2607</Words>
  <Characters>14863</Characters>
  <Application>Microsoft Office Word</Application>
  <DocSecurity>0</DocSecurity>
  <Lines>123</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Arai Haruna</dc:creator>
  <cp:keywords/>
  <dc:description/>
  <cp:lastModifiedBy>Arai Haruna</cp:lastModifiedBy>
  <cp:revision>3</cp:revision>
  <cp:lastPrinted>2020-06-03T02:52:00Z</cp:lastPrinted>
  <dcterms:created xsi:type="dcterms:W3CDTF">2020-08-28T11:58:00Z</dcterms:created>
  <dcterms:modified xsi:type="dcterms:W3CDTF">2020-08-29T00:57:00Z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http://www.zotero.org/styles/arthritis-research-and-therapy</vt:lpwstr>
  </property>
  <property fmtid="{D5CDD505-2E9C-101B-9397-08002B2CF9AE}" pid="7" name="Mendeley Recent Style Name 2_1">
    <vt:lpwstr>Arthritis Research &amp; Therapy</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http://www.zotero.org/styles/nephrology-dialysis-transplantation</vt:lpwstr>
  </property>
  <property fmtid="{D5CDD505-2E9C-101B-9397-08002B2CF9AE}" pid="21" name="Mendeley Recent Style Name 9_1">
    <vt:lpwstr>Nephrology Dialysis Transplantation</vt:lpwstr>
  </property>
  <property fmtid="{D5CDD505-2E9C-101B-9397-08002B2CF9AE}" pid="22" name="Mendeley Document_1">
    <vt:lpwstr>True</vt:lpwstr>
  </property>
  <property fmtid="{D5CDD505-2E9C-101B-9397-08002B2CF9AE}" pid="23" name="Mendeley Unique User Id_1">
    <vt:lpwstr>33673e63-e146-33bc-865d-603f36d34f10</vt:lpwstr>
  </property>
  <property fmtid="{D5CDD505-2E9C-101B-9397-08002B2CF9AE}" pid="24" name="Mendeley Citation Style_1">
    <vt:lpwstr>http://www.zotero.org/styles/arthritis-research-and-therapy</vt:lpwstr>
  </property>
  <property fmtid="{D5CDD505-2E9C-101B-9397-08002B2CF9AE}" pid="25" name="ContentTypeId">
    <vt:lpwstr>0x0101001409148C4D65E74F954EA0FEC4733833</vt:lpwstr>
  </property>
</Properties>
</file>