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C5EC4" w14:textId="77777777" w:rsidR="003A5B7A" w:rsidRPr="00F11D84" w:rsidRDefault="00384703" w:rsidP="00742E3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D84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726F4976" wp14:editId="578087DC">
            <wp:extent cx="3238500" cy="1980000"/>
            <wp:effectExtent l="0" t="0" r="19050" b="20320"/>
            <wp:docPr id="12" name="Diagramm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A0C8481" w14:textId="77777777" w:rsidR="0036793C" w:rsidRPr="00F11D84" w:rsidRDefault="001605B9">
      <w:pPr>
        <w:rPr>
          <w:rFonts w:ascii="Times New Roman" w:hAnsi="Times New Roman" w:cs="Times New Roman"/>
          <w:sz w:val="24"/>
          <w:szCs w:val="24"/>
        </w:rPr>
      </w:pPr>
      <w:r w:rsidRPr="00F11D84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77F69C03" wp14:editId="0510E745">
            <wp:extent cx="3240000" cy="1980000"/>
            <wp:effectExtent l="0" t="0" r="17780" b="20320"/>
            <wp:docPr id="8" name="Diagramm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D443A14" w14:textId="77777777" w:rsidR="008149A1" w:rsidRPr="00F11D84" w:rsidRDefault="001605B9">
      <w:pPr>
        <w:rPr>
          <w:rFonts w:ascii="Times New Roman" w:hAnsi="Times New Roman" w:cs="Times New Roman"/>
          <w:sz w:val="24"/>
          <w:szCs w:val="24"/>
        </w:rPr>
      </w:pPr>
      <w:r w:rsidRPr="00F11D84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14A568E3" wp14:editId="5514C10A">
            <wp:extent cx="3240000" cy="1980000"/>
            <wp:effectExtent l="0" t="0" r="17780" b="20320"/>
            <wp:docPr id="10" name="Diagramm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D74FCCA" w14:textId="6E57DD93" w:rsidR="00090F57" w:rsidRPr="00F11D84" w:rsidRDefault="00090F57" w:rsidP="00F2208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90F57" w:rsidRPr="00F11D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6A1D84" w16cid:durableId="21C4610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2A856" w14:textId="77777777" w:rsidR="00ED10F9" w:rsidRDefault="00ED10F9" w:rsidP="00F11D84">
      <w:pPr>
        <w:spacing w:line="240" w:lineRule="auto"/>
      </w:pPr>
      <w:r>
        <w:separator/>
      </w:r>
    </w:p>
  </w:endnote>
  <w:endnote w:type="continuationSeparator" w:id="0">
    <w:p w14:paraId="7AE4355E" w14:textId="77777777" w:rsidR="00ED10F9" w:rsidRDefault="00ED10F9" w:rsidP="00F11D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01A523" w14:textId="77777777" w:rsidR="00ED10F9" w:rsidRDefault="00ED10F9" w:rsidP="00F11D84">
      <w:pPr>
        <w:spacing w:line="240" w:lineRule="auto"/>
      </w:pPr>
      <w:r>
        <w:separator/>
      </w:r>
    </w:p>
  </w:footnote>
  <w:footnote w:type="continuationSeparator" w:id="0">
    <w:p w14:paraId="67354032" w14:textId="77777777" w:rsidR="00ED10F9" w:rsidRDefault="00ED10F9" w:rsidP="00F11D8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C4"/>
    <w:rsid w:val="00013E3C"/>
    <w:rsid w:val="00023C09"/>
    <w:rsid w:val="00046EC8"/>
    <w:rsid w:val="00054D04"/>
    <w:rsid w:val="00055414"/>
    <w:rsid w:val="00061547"/>
    <w:rsid w:val="00064641"/>
    <w:rsid w:val="000817A5"/>
    <w:rsid w:val="000821DE"/>
    <w:rsid w:val="0008797B"/>
    <w:rsid w:val="00090F57"/>
    <w:rsid w:val="000A0011"/>
    <w:rsid w:val="000A125E"/>
    <w:rsid w:val="000E4775"/>
    <w:rsid w:val="000F4A10"/>
    <w:rsid w:val="00114E0A"/>
    <w:rsid w:val="00134D86"/>
    <w:rsid w:val="00137A6C"/>
    <w:rsid w:val="00144681"/>
    <w:rsid w:val="001605B9"/>
    <w:rsid w:val="00180623"/>
    <w:rsid w:val="001A36BA"/>
    <w:rsid w:val="001A6640"/>
    <w:rsid w:val="001A71AA"/>
    <w:rsid w:val="001A7767"/>
    <w:rsid w:val="001B1D90"/>
    <w:rsid w:val="001C6400"/>
    <w:rsid w:val="001F141E"/>
    <w:rsid w:val="001F43C6"/>
    <w:rsid w:val="002001A8"/>
    <w:rsid w:val="00214A95"/>
    <w:rsid w:val="00224B09"/>
    <w:rsid w:val="00226DED"/>
    <w:rsid w:val="00246195"/>
    <w:rsid w:val="0025463C"/>
    <w:rsid w:val="00257394"/>
    <w:rsid w:val="00263108"/>
    <w:rsid w:val="00267EAF"/>
    <w:rsid w:val="0028754F"/>
    <w:rsid w:val="002A0949"/>
    <w:rsid w:val="002A3D9C"/>
    <w:rsid w:val="002A5E15"/>
    <w:rsid w:val="002A760D"/>
    <w:rsid w:val="0031367E"/>
    <w:rsid w:val="003154FB"/>
    <w:rsid w:val="00316A8F"/>
    <w:rsid w:val="00322C9B"/>
    <w:rsid w:val="00333722"/>
    <w:rsid w:val="003424AC"/>
    <w:rsid w:val="003507DF"/>
    <w:rsid w:val="00353EB9"/>
    <w:rsid w:val="00366272"/>
    <w:rsid w:val="0036793C"/>
    <w:rsid w:val="00384703"/>
    <w:rsid w:val="003A4A60"/>
    <w:rsid w:val="003A5B7A"/>
    <w:rsid w:val="003C5B6B"/>
    <w:rsid w:val="003D4386"/>
    <w:rsid w:val="003D6348"/>
    <w:rsid w:val="003E1240"/>
    <w:rsid w:val="003F7743"/>
    <w:rsid w:val="003F7A66"/>
    <w:rsid w:val="0040542D"/>
    <w:rsid w:val="00412871"/>
    <w:rsid w:val="00427F20"/>
    <w:rsid w:val="00442B86"/>
    <w:rsid w:val="00450761"/>
    <w:rsid w:val="0045742A"/>
    <w:rsid w:val="00461191"/>
    <w:rsid w:val="004633CC"/>
    <w:rsid w:val="00474BFE"/>
    <w:rsid w:val="00475876"/>
    <w:rsid w:val="004B1837"/>
    <w:rsid w:val="004C14AF"/>
    <w:rsid w:val="004D070E"/>
    <w:rsid w:val="004E0207"/>
    <w:rsid w:val="005065E5"/>
    <w:rsid w:val="00523052"/>
    <w:rsid w:val="0055605D"/>
    <w:rsid w:val="005565CA"/>
    <w:rsid w:val="00557A59"/>
    <w:rsid w:val="00560EF9"/>
    <w:rsid w:val="00571378"/>
    <w:rsid w:val="005B3EA9"/>
    <w:rsid w:val="005D4095"/>
    <w:rsid w:val="005D4486"/>
    <w:rsid w:val="005E609A"/>
    <w:rsid w:val="00603992"/>
    <w:rsid w:val="00612905"/>
    <w:rsid w:val="0062738B"/>
    <w:rsid w:val="00636B13"/>
    <w:rsid w:val="00644350"/>
    <w:rsid w:val="00650E53"/>
    <w:rsid w:val="00651029"/>
    <w:rsid w:val="006626E9"/>
    <w:rsid w:val="006670A6"/>
    <w:rsid w:val="0066759D"/>
    <w:rsid w:val="00691B53"/>
    <w:rsid w:val="006A2A74"/>
    <w:rsid w:val="006A432A"/>
    <w:rsid w:val="006B1CE6"/>
    <w:rsid w:val="006B48C4"/>
    <w:rsid w:val="006C7350"/>
    <w:rsid w:val="00727172"/>
    <w:rsid w:val="00737C00"/>
    <w:rsid w:val="0074018A"/>
    <w:rsid w:val="00742E3A"/>
    <w:rsid w:val="007462F3"/>
    <w:rsid w:val="00747D63"/>
    <w:rsid w:val="0075033D"/>
    <w:rsid w:val="00757D45"/>
    <w:rsid w:val="00767FC8"/>
    <w:rsid w:val="00771F58"/>
    <w:rsid w:val="00776052"/>
    <w:rsid w:val="00781896"/>
    <w:rsid w:val="00787102"/>
    <w:rsid w:val="00794CC2"/>
    <w:rsid w:val="00796405"/>
    <w:rsid w:val="007A48AF"/>
    <w:rsid w:val="007A5429"/>
    <w:rsid w:val="007B2E92"/>
    <w:rsid w:val="007D6CFA"/>
    <w:rsid w:val="007F150A"/>
    <w:rsid w:val="008138E7"/>
    <w:rsid w:val="008145F7"/>
    <w:rsid w:val="008149A1"/>
    <w:rsid w:val="008171C1"/>
    <w:rsid w:val="00832DA1"/>
    <w:rsid w:val="00847B4F"/>
    <w:rsid w:val="00873BF3"/>
    <w:rsid w:val="00874492"/>
    <w:rsid w:val="00877B67"/>
    <w:rsid w:val="0088254B"/>
    <w:rsid w:val="00883F60"/>
    <w:rsid w:val="0088720D"/>
    <w:rsid w:val="00887E48"/>
    <w:rsid w:val="008B532B"/>
    <w:rsid w:val="008C6861"/>
    <w:rsid w:val="008F2E3A"/>
    <w:rsid w:val="008F6DF0"/>
    <w:rsid w:val="00915E5F"/>
    <w:rsid w:val="009211DA"/>
    <w:rsid w:val="009535F4"/>
    <w:rsid w:val="009547DA"/>
    <w:rsid w:val="00961F8B"/>
    <w:rsid w:val="00994D92"/>
    <w:rsid w:val="009B4248"/>
    <w:rsid w:val="009B45F7"/>
    <w:rsid w:val="009B4FFA"/>
    <w:rsid w:val="009C07B8"/>
    <w:rsid w:val="009C4BBF"/>
    <w:rsid w:val="009C7FCB"/>
    <w:rsid w:val="009E53A8"/>
    <w:rsid w:val="009F69AC"/>
    <w:rsid w:val="00A206F4"/>
    <w:rsid w:val="00A27B91"/>
    <w:rsid w:val="00A37A67"/>
    <w:rsid w:val="00A57171"/>
    <w:rsid w:val="00A701B8"/>
    <w:rsid w:val="00A71CA7"/>
    <w:rsid w:val="00A72198"/>
    <w:rsid w:val="00A86543"/>
    <w:rsid w:val="00A94FD7"/>
    <w:rsid w:val="00A95F17"/>
    <w:rsid w:val="00AA1855"/>
    <w:rsid w:val="00AB36B6"/>
    <w:rsid w:val="00AC085F"/>
    <w:rsid w:val="00AC3714"/>
    <w:rsid w:val="00AC76C0"/>
    <w:rsid w:val="00AD3939"/>
    <w:rsid w:val="00B00D57"/>
    <w:rsid w:val="00B04C1D"/>
    <w:rsid w:val="00B13E00"/>
    <w:rsid w:val="00B53348"/>
    <w:rsid w:val="00B5648F"/>
    <w:rsid w:val="00B57AA1"/>
    <w:rsid w:val="00B75883"/>
    <w:rsid w:val="00B75BE8"/>
    <w:rsid w:val="00B75FAC"/>
    <w:rsid w:val="00B81DD4"/>
    <w:rsid w:val="00B8274B"/>
    <w:rsid w:val="00B83F73"/>
    <w:rsid w:val="00BE0A33"/>
    <w:rsid w:val="00BE6D41"/>
    <w:rsid w:val="00BF072C"/>
    <w:rsid w:val="00BF14C8"/>
    <w:rsid w:val="00C02ACF"/>
    <w:rsid w:val="00C1733F"/>
    <w:rsid w:val="00C3361D"/>
    <w:rsid w:val="00C42716"/>
    <w:rsid w:val="00C55660"/>
    <w:rsid w:val="00C57892"/>
    <w:rsid w:val="00C6066B"/>
    <w:rsid w:val="00C660AE"/>
    <w:rsid w:val="00C662F5"/>
    <w:rsid w:val="00C739ED"/>
    <w:rsid w:val="00C931A9"/>
    <w:rsid w:val="00C94F80"/>
    <w:rsid w:val="00CB16D4"/>
    <w:rsid w:val="00CB1725"/>
    <w:rsid w:val="00CC3CC8"/>
    <w:rsid w:val="00CD1F38"/>
    <w:rsid w:val="00CE326F"/>
    <w:rsid w:val="00CE44D0"/>
    <w:rsid w:val="00D22C70"/>
    <w:rsid w:val="00D2330F"/>
    <w:rsid w:val="00D23F4B"/>
    <w:rsid w:val="00D34BFD"/>
    <w:rsid w:val="00D56987"/>
    <w:rsid w:val="00D57926"/>
    <w:rsid w:val="00D60373"/>
    <w:rsid w:val="00D60944"/>
    <w:rsid w:val="00D70EF7"/>
    <w:rsid w:val="00D82D9F"/>
    <w:rsid w:val="00D94FA5"/>
    <w:rsid w:val="00DB72E2"/>
    <w:rsid w:val="00DD5898"/>
    <w:rsid w:val="00DE71BC"/>
    <w:rsid w:val="00DF5A88"/>
    <w:rsid w:val="00E11423"/>
    <w:rsid w:val="00E2334C"/>
    <w:rsid w:val="00E349F7"/>
    <w:rsid w:val="00E4632D"/>
    <w:rsid w:val="00E523AE"/>
    <w:rsid w:val="00E52E45"/>
    <w:rsid w:val="00E73B2B"/>
    <w:rsid w:val="00E87EEB"/>
    <w:rsid w:val="00E963E7"/>
    <w:rsid w:val="00EC124D"/>
    <w:rsid w:val="00EC1BD2"/>
    <w:rsid w:val="00EC65E6"/>
    <w:rsid w:val="00ED10F9"/>
    <w:rsid w:val="00F01829"/>
    <w:rsid w:val="00F11D84"/>
    <w:rsid w:val="00F14EC7"/>
    <w:rsid w:val="00F2054F"/>
    <w:rsid w:val="00F22082"/>
    <w:rsid w:val="00F256E0"/>
    <w:rsid w:val="00F31368"/>
    <w:rsid w:val="00F3252A"/>
    <w:rsid w:val="00F4627D"/>
    <w:rsid w:val="00F63801"/>
    <w:rsid w:val="00F70610"/>
    <w:rsid w:val="00F97190"/>
    <w:rsid w:val="00FB2C9A"/>
    <w:rsid w:val="00FC12EE"/>
    <w:rsid w:val="00FC5D74"/>
    <w:rsid w:val="00FC6FDD"/>
    <w:rsid w:val="00FE7173"/>
    <w:rsid w:val="00FE7476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1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48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48C4"/>
    <w:rPr>
      <w:rFonts w:ascii="Tahoma" w:hAnsi="Tahoma" w:cs="Tahoma"/>
      <w:noProof/>
      <w:sz w:val="16"/>
      <w:szCs w:val="16"/>
      <w:lang w:val="en-GB"/>
    </w:rPr>
  </w:style>
  <w:style w:type="table" w:styleId="Tabellenraster">
    <w:name w:val="Table Grid"/>
    <w:basedOn w:val="NormaleTabelle"/>
    <w:uiPriority w:val="39"/>
    <w:rsid w:val="006B48C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14A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14A9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14A95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4A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4A95"/>
    <w:rPr>
      <w:b/>
      <w:bCs/>
      <w:sz w:val="20"/>
      <w:szCs w:val="20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AC37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D84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D84"/>
    <w:rPr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F11D84"/>
    <w:rPr>
      <w:vertAlign w:val="superscript"/>
    </w:rPr>
  </w:style>
  <w:style w:type="paragraph" w:styleId="berarbeitung">
    <w:name w:val="Revision"/>
    <w:hidden/>
    <w:uiPriority w:val="99"/>
    <w:semiHidden/>
    <w:rsid w:val="00B5648F"/>
    <w:pPr>
      <w:spacing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48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48C4"/>
    <w:rPr>
      <w:rFonts w:ascii="Tahoma" w:hAnsi="Tahoma" w:cs="Tahoma"/>
      <w:noProof/>
      <w:sz w:val="16"/>
      <w:szCs w:val="16"/>
      <w:lang w:val="en-GB"/>
    </w:rPr>
  </w:style>
  <w:style w:type="table" w:styleId="Tabellenraster">
    <w:name w:val="Table Grid"/>
    <w:basedOn w:val="NormaleTabelle"/>
    <w:uiPriority w:val="39"/>
    <w:rsid w:val="006B48C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14A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14A9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14A95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4A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4A95"/>
    <w:rPr>
      <w:b/>
      <w:bCs/>
      <w:sz w:val="20"/>
      <w:szCs w:val="20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AC37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D84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D84"/>
    <w:rPr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F11D84"/>
    <w:rPr>
      <w:vertAlign w:val="superscript"/>
    </w:rPr>
  </w:style>
  <w:style w:type="paragraph" w:styleId="berarbeitung">
    <w:name w:val="Revision"/>
    <w:hidden/>
    <w:uiPriority w:val="99"/>
    <w:semiHidden/>
    <w:rsid w:val="00B5648F"/>
    <w:pPr>
      <w:spacing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1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 algn="ctr"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de-DE" sz="1200" baseline="0" dirty="0" err="1">
                <a:latin typeface="Times New Roman" panose="02020603050405020304" pitchFamily="18" charset="0"/>
                <a:cs typeface="Times New Roman" panose="02020603050405020304" pitchFamily="18" charset="0"/>
              </a:rPr>
              <a:t>Disease duration at baseline</a:t>
            </a:r>
            <a:endParaRPr lang="de-DE" sz="1200" dirty="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7499984560753399"/>
          <c:y val="1.21216406640639E-5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73403118727806"/>
          <c:y val="0.145814751026551"/>
          <c:w val="0.78692295815964197"/>
          <c:h val="0.41008681607106801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Mean</c:v>
                </c:pt>
              </c:strCache>
            </c:strRef>
          </c:tx>
          <c:spPr>
            <a:ln w="25400"/>
          </c:spPr>
          <c:marker>
            <c:symbol val="diamond"/>
            <c:size val="4"/>
          </c:marker>
          <c:cat>
            <c:numRef>
              <c:f>Sheet1!$B$1:$S$1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cat>
          <c:val>
            <c:numRef>
              <c:f>Sheet1!$B$2:$S$2</c:f>
              <c:numCache>
                <c:formatCode>###0.0000</c:formatCode>
                <c:ptCount val="18"/>
                <c:pt idx="0">
                  <c:v>5.9695128907141202</c:v>
                </c:pt>
                <c:pt idx="1">
                  <c:v>6.2060701527383202</c:v>
                </c:pt>
                <c:pt idx="2">
                  <c:v>5.3866467550245796</c:v>
                </c:pt>
                <c:pt idx="3">
                  <c:v>5.0998120443705668</c:v>
                </c:pt>
                <c:pt idx="4">
                  <c:v>5.0644278112649266</c:v>
                </c:pt>
                <c:pt idx="5">
                  <c:v>4.5958941811097871</c:v>
                </c:pt>
                <c:pt idx="6">
                  <c:v>4.5139468887709668</c:v>
                </c:pt>
                <c:pt idx="7">
                  <c:v>4.1794276460298896</c:v>
                </c:pt>
                <c:pt idx="8">
                  <c:v>3.7513063220981291</c:v>
                </c:pt>
                <c:pt idx="9">
                  <c:v>3.8627481177275831</c:v>
                </c:pt>
                <c:pt idx="10">
                  <c:v>3.5568009499283391</c:v>
                </c:pt>
                <c:pt idx="11">
                  <c:v>3.5037482481014308</c:v>
                </c:pt>
                <c:pt idx="12">
                  <c:v>3.4818182177857429</c:v>
                </c:pt>
                <c:pt idx="13">
                  <c:v>3.1994908558185342</c:v>
                </c:pt>
                <c:pt idx="14">
                  <c:v>3.6348913560482141</c:v>
                </c:pt>
                <c:pt idx="15">
                  <c:v>3.471563328534224</c:v>
                </c:pt>
                <c:pt idx="16">
                  <c:v>3.313698448210689</c:v>
                </c:pt>
                <c:pt idx="17">
                  <c:v>3.4151902261149769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91B-4AC4-82F1-56B4B293338C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Median</c:v>
                </c:pt>
              </c:strCache>
            </c:strRef>
          </c:tx>
          <c:spPr>
            <a:ln w="25400"/>
          </c:spPr>
          <c:marker>
            <c:symbol val="diamond"/>
            <c:size val="4"/>
          </c:marker>
          <c:cat>
            <c:numRef>
              <c:f>Sheet1!$B$1:$S$1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cat>
          <c:val>
            <c:numRef>
              <c:f>Sheet1!$B$3:$S$3</c:f>
              <c:numCache>
                <c:formatCode>###0.0000</c:formatCode>
                <c:ptCount val="18"/>
                <c:pt idx="0">
                  <c:v>5.3470225872689818</c:v>
                </c:pt>
                <c:pt idx="1">
                  <c:v>5.3086926762491444</c:v>
                </c:pt>
                <c:pt idx="2">
                  <c:v>3.8015058179329229</c:v>
                </c:pt>
                <c:pt idx="3">
                  <c:v>4.2778918548939089</c:v>
                </c:pt>
                <c:pt idx="4">
                  <c:v>3.6125941136208071</c:v>
                </c:pt>
                <c:pt idx="5">
                  <c:v>3.4551676933607101</c:v>
                </c:pt>
                <c:pt idx="6">
                  <c:v>2.9664613278576311</c:v>
                </c:pt>
                <c:pt idx="7">
                  <c:v>3.4031485284052021</c:v>
                </c:pt>
                <c:pt idx="8">
                  <c:v>2.6748802190280632</c:v>
                </c:pt>
                <c:pt idx="9">
                  <c:v>3.175906913073236</c:v>
                </c:pt>
                <c:pt idx="10">
                  <c:v>2.9623545516769338</c:v>
                </c:pt>
                <c:pt idx="11">
                  <c:v>2.514715947980835</c:v>
                </c:pt>
                <c:pt idx="12">
                  <c:v>2.0260095824777551</c:v>
                </c:pt>
                <c:pt idx="13">
                  <c:v>2.1136208076659821</c:v>
                </c:pt>
                <c:pt idx="14">
                  <c:v>2.2861054072553051</c:v>
                </c:pt>
                <c:pt idx="15">
                  <c:v>2.109514031485284</c:v>
                </c:pt>
                <c:pt idx="16">
                  <c:v>2.2176591375770012</c:v>
                </c:pt>
                <c:pt idx="17">
                  <c:v>2.1629021218343598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91B-4AC4-82F1-56B4B29333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392000"/>
        <c:axId val="63402368"/>
      </c:lineChart>
      <c:catAx>
        <c:axId val="633920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de-DE" sz="1200" dirty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Recruitment year</a:t>
                </a:r>
              </a:p>
            </c:rich>
          </c:tx>
          <c:layout>
            <c:manualLayout>
              <c:xMode val="edge"/>
              <c:yMode val="edge"/>
              <c:x val="0.38630569708198198"/>
              <c:y val="0.7769724182168059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</c:spPr>
        <c:txPr>
          <a:bodyPr rot="-2700000" vert="horz"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de-DE"/>
          </a:p>
        </c:txPr>
        <c:crossAx val="63402368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63402368"/>
        <c:scaling>
          <c:orientation val="minMax"/>
          <c:max val="8"/>
          <c:min val="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de-DE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Years</a:t>
                </a:r>
              </a:p>
            </c:rich>
          </c:tx>
          <c:layout>
            <c:manualLayout>
              <c:xMode val="edge"/>
              <c:yMode val="edge"/>
              <c:x val="3.4124440327312003E-2"/>
              <c:y val="0.25519841610562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>
            <a:noFill/>
          </a:ln>
        </c:spPr>
        <c:txPr>
          <a:bodyPr rot="0" vert="horz"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de-DE"/>
          </a:p>
        </c:txPr>
        <c:crossAx val="63392000"/>
        <c:crosses val="autoZero"/>
        <c:crossBetween val="between"/>
        <c:majorUnit val="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236528948587309"/>
          <c:y val="0.87719818377417402"/>
          <c:w val="0.52694210282538201"/>
          <c:h val="0.122801837270341"/>
        </c:manualLayout>
      </c:layout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de-DE"/>
        </a:p>
      </c:txPr>
    </c:legend>
    <c:plotVisOnly val="1"/>
    <c:dispBlanksAs val="gap"/>
    <c:showDLblsOverMax val="0"/>
  </c:chart>
  <c:spPr>
    <a:noFill/>
    <a:ln>
      <a:solidFill>
        <a:schemeClr val="bg1">
          <a:lumMod val="85000"/>
        </a:schemeClr>
      </a:solidFill>
    </a:ln>
  </c:spPr>
  <c:txPr>
    <a:bodyPr/>
    <a:lstStyle/>
    <a:p>
      <a:pPr>
        <a:defRPr sz="1800"/>
      </a:pPr>
      <a:endParaRPr lang="de-DE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de-DE" sz="1200" dirty="0">
                <a:latin typeface="Times New Roman" panose="02020603050405020304" pitchFamily="18" charset="0"/>
                <a:cs typeface="Times New Roman" panose="02020603050405020304" pitchFamily="18" charset="0"/>
              </a:rPr>
              <a:t>JADAS10</a:t>
            </a:r>
          </a:p>
        </c:rich>
      </c:tx>
      <c:layout>
        <c:manualLayout>
          <c:xMode val="edge"/>
          <c:yMode val="edge"/>
          <c:x val="0.4320537285780450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74424419017399"/>
          <c:y val="0.16220939049285499"/>
          <c:w val="0.78592677875281203"/>
          <c:h val="0.39895618816878697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Baseline</c:v>
                </c:pt>
              </c:strCache>
            </c:strRef>
          </c:tx>
          <c:spPr>
            <a:ln w="25372"/>
          </c:spPr>
          <c:marker>
            <c:symbol val="diamond"/>
            <c:size val="4"/>
          </c:marker>
          <c:cat>
            <c:numRef>
              <c:f>Sheet1!$B$1:$S$1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cat>
          <c:val>
            <c:numRef>
              <c:f>Sheet1!$B$2:$S$2</c:f>
              <c:numCache>
                <c:formatCode>General</c:formatCode>
                <c:ptCount val="18"/>
                <c:pt idx="0">
                  <c:v>19.57934783</c:v>
                </c:pt>
                <c:pt idx="1">
                  <c:v>20.50342466</c:v>
                </c:pt>
                <c:pt idx="2">
                  <c:v>18.283183180000002</c:v>
                </c:pt>
                <c:pt idx="3">
                  <c:v>19.13986667</c:v>
                </c:pt>
                <c:pt idx="4">
                  <c:v>18.871994539999999</c:v>
                </c:pt>
                <c:pt idx="5">
                  <c:v>16.846762590000001</c:v>
                </c:pt>
                <c:pt idx="6">
                  <c:v>16.846762590000001</c:v>
                </c:pt>
                <c:pt idx="7">
                  <c:v>16.47758808</c:v>
                </c:pt>
                <c:pt idx="8">
                  <c:v>14.68957176</c:v>
                </c:pt>
                <c:pt idx="9">
                  <c:v>15.304003939999999</c:v>
                </c:pt>
                <c:pt idx="10">
                  <c:v>13.183179190000001</c:v>
                </c:pt>
                <c:pt idx="11">
                  <c:v>13.38718121</c:v>
                </c:pt>
                <c:pt idx="12">
                  <c:v>13.252805759999999</c:v>
                </c:pt>
                <c:pt idx="13">
                  <c:v>13.22436242</c:v>
                </c:pt>
                <c:pt idx="14">
                  <c:v>12.735076250000001</c:v>
                </c:pt>
                <c:pt idx="15">
                  <c:v>13.259322490000001</c:v>
                </c:pt>
                <c:pt idx="16">
                  <c:v>12.4</c:v>
                </c:pt>
                <c:pt idx="17">
                  <c:v>10.7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3D4-49BE-9CDA-2E306DF3CAFE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Month 12</c:v>
                </c:pt>
              </c:strCache>
            </c:strRef>
          </c:tx>
          <c:spPr>
            <a:ln w="25372"/>
          </c:spPr>
          <c:marker>
            <c:symbol val="diamond"/>
            <c:size val="4"/>
          </c:marker>
          <c:cat>
            <c:numRef>
              <c:f>Sheet1!$B$1:$S$1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cat>
          <c:val>
            <c:numRef>
              <c:f>Sheet1!$B$3:$S$3</c:f>
              <c:numCache>
                <c:formatCode>General</c:formatCode>
                <c:ptCount val="18"/>
                <c:pt idx="0">
                  <c:v>6.9521171169999851</c:v>
                </c:pt>
                <c:pt idx="1">
                  <c:v>7.0259999999999918</c:v>
                </c:pt>
                <c:pt idx="2">
                  <c:v>5.1662337659999986</c:v>
                </c:pt>
                <c:pt idx="3">
                  <c:v>5.0887037040000003</c:v>
                </c:pt>
                <c:pt idx="4">
                  <c:v>5.0603703699999851</c:v>
                </c:pt>
                <c:pt idx="5">
                  <c:v>3.912403100999998</c:v>
                </c:pt>
                <c:pt idx="6">
                  <c:v>4.1543999999999954</c:v>
                </c:pt>
                <c:pt idx="7">
                  <c:v>4.6283879779999699</c:v>
                </c:pt>
                <c:pt idx="8">
                  <c:v>4.5443526169999853</c:v>
                </c:pt>
                <c:pt idx="9">
                  <c:v>5.0508158509999737</c:v>
                </c:pt>
                <c:pt idx="10">
                  <c:v>4.0960784309999996</c:v>
                </c:pt>
                <c:pt idx="11">
                  <c:v>4.7181518149999864</c:v>
                </c:pt>
                <c:pt idx="12">
                  <c:v>3.9930320149999998</c:v>
                </c:pt>
                <c:pt idx="13">
                  <c:v>3.8671573600000002</c:v>
                </c:pt>
                <c:pt idx="14">
                  <c:v>4.7332333330000003</c:v>
                </c:pt>
                <c:pt idx="15">
                  <c:v>3.7</c:v>
                </c:pt>
                <c:pt idx="16">
                  <c:v>3.3</c:v>
                </c:pt>
                <c:pt idx="17">
                  <c:v>2.2999999999999998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3D4-49BE-9CDA-2E306DF3CA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606144"/>
        <c:axId val="63608320"/>
      </c:lineChart>
      <c:catAx>
        <c:axId val="636061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de-DE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Recruitment year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</c:spPr>
        <c:txPr>
          <a:bodyPr rot="-2700000" vert="horz"/>
          <a:lstStyle/>
          <a:p>
            <a:pPr>
              <a:defRPr sz="1199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de-DE"/>
          </a:p>
        </c:txPr>
        <c:crossAx val="63608320"/>
        <c:crosses val="autoZero"/>
        <c:auto val="1"/>
        <c:lblAlgn val="ctr"/>
        <c:lblOffset val="100"/>
        <c:tickLblSkip val="2"/>
        <c:tickMarkSkip val="2"/>
        <c:noMultiLvlLbl val="0"/>
      </c:catAx>
      <c:valAx>
        <c:axId val="63608320"/>
        <c:scaling>
          <c:orientation val="minMax"/>
          <c:max val="25"/>
          <c:min val="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 sz="1199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de-DE"/>
                  <a:t>JADAS10</a:t>
                </a:r>
              </a:p>
            </c:rich>
          </c:tx>
          <c:layout>
            <c:manualLayout>
              <c:xMode val="edge"/>
              <c:yMode val="edge"/>
              <c:x val="1.1764705882352899E-2"/>
              <c:y val="0.22289121332572401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</c:spPr>
        <c:txPr>
          <a:bodyPr rot="0" vert="horz"/>
          <a:lstStyle/>
          <a:p>
            <a:pPr>
              <a:defRPr sz="1199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de-DE"/>
          </a:p>
        </c:txPr>
        <c:crossAx val="63606144"/>
        <c:crosses val="autoZero"/>
        <c:crossBetween val="between"/>
      </c:valAx>
      <c:spPr>
        <a:noFill/>
        <a:ln w="25372">
          <a:noFill/>
        </a:ln>
      </c:spPr>
    </c:plotArea>
    <c:legend>
      <c:legendPos val="b"/>
      <c:layout>
        <c:manualLayout>
          <c:xMode val="edge"/>
          <c:yMode val="edge"/>
          <c:x val="0.192979483198403"/>
          <c:y val="0.88653484981043995"/>
          <c:w val="0.61404073786551305"/>
          <c:h val="0.11346515018955999"/>
        </c:manualLayout>
      </c:layout>
      <c:overlay val="0"/>
      <c:txPr>
        <a:bodyPr/>
        <a:lstStyle/>
        <a:p>
          <a:pPr>
            <a:defRPr sz="1199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de-DE"/>
        </a:p>
      </c:txPr>
    </c:legend>
    <c:plotVisOnly val="1"/>
    <c:dispBlanksAs val="gap"/>
    <c:showDLblsOverMax val="0"/>
  </c:chart>
  <c:spPr>
    <a:noFill/>
    <a:ln>
      <a:solidFill>
        <a:schemeClr val="bg1">
          <a:lumMod val="85000"/>
        </a:schemeClr>
      </a:solidFill>
    </a:ln>
  </c:spPr>
  <c:txPr>
    <a:bodyPr/>
    <a:lstStyle/>
    <a:p>
      <a:pPr>
        <a:defRPr sz="1798"/>
      </a:pPr>
      <a:endParaRPr lang="de-DE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 algn="ctr"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de-DE" sz="1200" b="1" dirty="0">
                <a:latin typeface="Times New Roman" panose="02020603050405020304" pitchFamily="18" charset="0"/>
                <a:cs typeface="Times New Roman" panose="02020603050405020304" pitchFamily="18" charset="0"/>
              </a:rPr>
              <a:t>Response to treatment </a:t>
            </a:r>
            <a:r>
              <a:rPr lang="de-DE" sz="1200" b="1" baseline="0" dirty="0">
                <a:latin typeface="Times New Roman" panose="02020603050405020304" pitchFamily="18" charset="0"/>
                <a:cs typeface="Times New Roman" panose="02020603050405020304" pitchFamily="18" charset="0"/>
              </a:rPr>
              <a:t>at </a:t>
            </a:r>
            <a:r>
              <a:rPr lang="de-DE" sz="1200" b="1" baseline="0" dirty="0" err="1">
                <a:latin typeface="Times New Roman" panose="02020603050405020304" pitchFamily="18" charset="0"/>
                <a:cs typeface="Times New Roman" panose="02020603050405020304" pitchFamily="18" charset="0"/>
              </a:rPr>
              <a:t>month</a:t>
            </a:r>
            <a:r>
              <a:rPr lang="de-DE" sz="1200" b="1" baseline="0" dirty="0">
                <a:latin typeface="Times New Roman" panose="02020603050405020304" pitchFamily="18" charset="0"/>
                <a:cs typeface="Times New Roman" panose="02020603050405020304" pitchFamily="18" charset="0"/>
              </a:rPr>
              <a:t> 12</a:t>
            </a:r>
            <a:endParaRPr lang="de-DE" sz="1200" b="1" dirty="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8368618759973701"/>
          <c:y val="5.0001767739262597E-5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7351613401266"/>
          <c:y val="0.14592586606597199"/>
          <c:w val="0.78277933310080705"/>
          <c:h val="0.40790076721179103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JADAS-MDA</c:v>
                </c:pt>
              </c:strCache>
            </c:strRef>
          </c:tx>
          <c:spPr>
            <a:ln w="25400"/>
          </c:spPr>
          <c:marker>
            <c:symbol val="diamond"/>
            <c:size val="4"/>
          </c:marker>
          <c:cat>
            <c:numRef>
              <c:f>Sheet1!$B$1:$S$1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cat>
          <c:val>
            <c:numRef>
              <c:f>Sheet1!$B$2:$S$2</c:f>
              <c:numCache>
                <c:formatCode>0.00</c:formatCode>
                <c:ptCount val="18"/>
                <c:pt idx="0">
                  <c:v>43.5</c:v>
                </c:pt>
                <c:pt idx="1">
                  <c:v>50</c:v>
                </c:pt>
                <c:pt idx="2">
                  <c:v>59.7</c:v>
                </c:pt>
                <c:pt idx="3">
                  <c:v>62.2</c:v>
                </c:pt>
                <c:pt idx="4">
                  <c:v>56.7</c:v>
                </c:pt>
                <c:pt idx="5">
                  <c:v>65.100000000000009</c:v>
                </c:pt>
                <c:pt idx="6">
                  <c:v>64.8</c:v>
                </c:pt>
                <c:pt idx="7">
                  <c:v>63.1</c:v>
                </c:pt>
                <c:pt idx="8">
                  <c:v>60.3</c:v>
                </c:pt>
                <c:pt idx="9">
                  <c:v>60.1</c:v>
                </c:pt>
                <c:pt idx="10">
                  <c:v>64.7</c:v>
                </c:pt>
                <c:pt idx="11">
                  <c:v>59.9</c:v>
                </c:pt>
                <c:pt idx="12">
                  <c:v>63.3</c:v>
                </c:pt>
                <c:pt idx="13">
                  <c:v>66.5</c:v>
                </c:pt>
                <c:pt idx="14">
                  <c:v>54</c:v>
                </c:pt>
                <c:pt idx="15">
                  <c:v>64</c:v>
                </c:pt>
                <c:pt idx="16">
                  <c:v>69</c:v>
                </c:pt>
                <c:pt idx="17">
                  <c:v>72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7C7-46C5-AACB-52F00501C615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JADAS-remission</c:v>
                </c:pt>
              </c:strCache>
            </c:strRef>
          </c:tx>
          <c:spPr>
            <a:ln w="25400"/>
          </c:spPr>
          <c:marker>
            <c:symbol val="diamond"/>
            <c:size val="4"/>
          </c:marker>
          <c:cat>
            <c:numRef>
              <c:f>Sheet1!$B$1:$S$1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cat>
          <c:val>
            <c:numRef>
              <c:f>Sheet1!$B$3:$S$3</c:f>
              <c:numCache>
                <c:formatCode>0.00</c:formatCode>
                <c:ptCount val="18"/>
                <c:pt idx="0">
                  <c:v>21</c:v>
                </c:pt>
                <c:pt idx="1">
                  <c:v>22</c:v>
                </c:pt>
                <c:pt idx="2">
                  <c:v>28.6</c:v>
                </c:pt>
                <c:pt idx="3">
                  <c:v>41.1</c:v>
                </c:pt>
                <c:pt idx="4">
                  <c:v>27.8</c:v>
                </c:pt>
                <c:pt idx="5">
                  <c:v>41.9</c:v>
                </c:pt>
                <c:pt idx="6">
                  <c:v>39.200000000000003</c:v>
                </c:pt>
                <c:pt idx="7">
                  <c:v>39.299999999999997</c:v>
                </c:pt>
                <c:pt idx="8">
                  <c:v>35.5</c:v>
                </c:pt>
                <c:pt idx="9">
                  <c:v>31.5</c:v>
                </c:pt>
                <c:pt idx="10">
                  <c:v>44.4</c:v>
                </c:pt>
                <c:pt idx="11">
                  <c:v>34.700000000000003</c:v>
                </c:pt>
                <c:pt idx="12">
                  <c:v>39.5</c:v>
                </c:pt>
                <c:pt idx="13">
                  <c:v>36</c:v>
                </c:pt>
                <c:pt idx="14">
                  <c:v>25</c:v>
                </c:pt>
                <c:pt idx="15">
                  <c:v>34</c:v>
                </c:pt>
                <c:pt idx="16">
                  <c:v>41</c:v>
                </c:pt>
                <c:pt idx="17">
                  <c:v>45.6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7C7-46C5-AACB-52F00501C6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735296"/>
        <c:axId val="63737216"/>
      </c:lineChart>
      <c:catAx>
        <c:axId val="637352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de-DE" sz="1200" dirty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Recrui</a:t>
                </a:r>
                <a:r>
                  <a:rPr lang="de-DE" sz="1200" baseline="0" dirty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tment </a:t>
                </a:r>
                <a:r>
                  <a:rPr lang="de-DE" sz="1200" baseline="0" dirty="0" err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year</a:t>
                </a:r>
                <a:endParaRPr lang="de-DE" sz="1200" dirty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39084082136791698"/>
              <c:y val="0.7781007409352860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>
            <a:noFill/>
          </a:ln>
        </c:spPr>
        <c:txPr>
          <a:bodyPr rot="-2700000" vert="horz"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de-DE"/>
          </a:p>
        </c:txPr>
        <c:crossAx val="63737216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63737216"/>
        <c:scaling>
          <c:orientation val="minMax"/>
          <c:max val="100"/>
          <c:min val="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de-DE" sz="1200" dirty="0" err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Percentage</a:t>
                </a:r>
                <a:r>
                  <a:rPr lang="de-DE" sz="1200" dirty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(%)</a:t>
                </a:r>
              </a:p>
            </c:rich>
          </c:tx>
          <c:layout/>
          <c:overlay val="0"/>
        </c:title>
        <c:numFmt formatCode="#,##0" sourceLinked="0"/>
        <c:majorTickMark val="out"/>
        <c:minorTickMark val="none"/>
        <c:tickLblPos val="nextTo"/>
        <c:spPr>
          <a:ln>
            <a:noFill/>
          </a:ln>
        </c:spPr>
        <c:txPr>
          <a:bodyPr rot="0" vert="horz"/>
          <a:lstStyle/>
          <a:p>
            <a:pPr>
              <a:defRPr sz="12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de-DE"/>
          </a:p>
        </c:txPr>
        <c:crossAx val="63735296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6.5686274509803896E-2"/>
          <c:y val="0.87719818377417402"/>
          <c:w val="0.9"/>
          <c:h val="0.122801837270341"/>
        </c:manualLayout>
      </c:layout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de-DE"/>
        </a:p>
      </c:txPr>
    </c:legend>
    <c:plotVisOnly val="1"/>
    <c:dispBlanksAs val="gap"/>
    <c:showDLblsOverMax val="0"/>
  </c:chart>
  <c:spPr>
    <a:noFill/>
    <a:ln>
      <a:solidFill>
        <a:schemeClr val="bg1">
          <a:lumMod val="85000"/>
        </a:schemeClr>
      </a:solidFill>
    </a:ln>
  </c:spPr>
  <c:txPr>
    <a:bodyPr/>
    <a:lstStyle/>
    <a:p>
      <a:pPr>
        <a:defRPr sz="1800"/>
      </a:pPr>
      <a:endParaRPr lang="de-DE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0.19679</cdr:x>
      <cdr:y>0.20409</cdr:y>
    </cdr:from>
    <cdr:to>
      <cdr:x>0.94545</cdr:x>
      <cdr:y>0.20409</cdr:y>
    </cdr:to>
    <cdr:cxnSp macro="">
      <cdr:nvCxnSpPr>
        <cdr:cNvPr id="3" name="Gerade Verbindung 2"/>
        <cdr:cNvCxnSpPr/>
      </cdr:nvCxnSpPr>
      <cdr:spPr>
        <a:xfrm xmlns:a="http://schemas.openxmlformats.org/drawingml/2006/main">
          <a:off x="637309" y="404090"/>
          <a:ext cx="2424546" cy="0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tx1">
              <a:lumMod val="65000"/>
              <a:lumOff val="35000"/>
            </a:schemeClr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0.49283</cdr:x>
      <cdr:y>0.11244</cdr:y>
    </cdr:from>
    <cdr:to>
      <cdr:x>0.61103</cdr:x>
      <cdr:y>0.22963</cdr:y>
    </cdr:to>
    <cdr:sp macro="" textlink="">
      <cdr:nvSpPr>
        <cdr:cNvPr id="4" name="Textfeld 3"/>
        <cdr:cNvSpPr txBox="1"/>
      </cdr:nvSpPr>
      <cdr:spPr>
        <a:xfrm xmlns:a="http://schemas.openxmlformats.org/drawingml/2006/main">
          <a:off x="1596019" y="222621"/>
          <a:ext cx="382791" cy="2320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de-DE" sz="1100">
              <a:latin typeface="Times New Roman" panose="02020603050405020304" pitchFamily="18" charset="0"/>
              <a:cs typeface="Times New Roman" panose="02020603050405020304" pitchFamily="18" charset="0"/>
            </a:rPr>
            <a:t>***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0.12353</cdr:x>
      <cdr:y>0.14913</cdr:y>
    </cdr:to>
    <cdr:sp macro="" textlink="">
      <cdr:nvSpPr>
        <cdr:cNvPr id="2" name="Textfeld 1"/>
        <cdr:cNvSpPr txBox="1"/>
      </cdr:nvSpPr>
      <cdr:spPr>
        <a:xfrm xmlns:a="http://schemas.openxmlformats.org/drawingml/2006/main">
          <a:off x="0" y="0"/>
          <a:ext cx="400051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de-DE" sz="1100">
              <a:latin typeface="Times New Roman" panose="02020603050405020304" pitchFamily="18" charset="0"/>
              <a:cs typeface="Times New Roman" panose="02020603050405020304" pitchFamily="18" charset="0"/>
            </a:rPr>
            <a:t>(a)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0.01568</cdr:x>
      <cdr:y>0.02566</cdr:y>
    </cdr:from>
    <cdr:to>
      <cdr:x>0.13916</cdr:x>
      <cdr:y>0.17479</cdr:y>
    </cdr:to>
    <cdr:sp macro="" textlink="">
      <cdr:nvSpPr>
        <cdr:cNvPr id="2" name="Textfeld 1"/>
        <cdr:cNvSpPr txBox="1"/>
      </cdr:nvSpPr>
      <cdr:spPr>
        <a:xfrm xmlns:a="http://schemas.openxmlformats.org/drawingml/2006/main">
          <a:off x="50800" y="50800"/>
          <a:ext cx="400051" cy="295275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</cdr:x>
      <cdr:y>0</cdr:y>
    </cdr:from>
    <cdr:to>
      <cdr:x>0.1176</cdr:x>
      <cdr:y>0.15876</cdr:y>
    </cdr:to>
    <cdr:sp macro="" textlink="">
      <cdr:nvSpPr>
        <cdr:cNvPr id="3" name="Textfeld 2"/>
        <cdr:cNvSpPr txBox="1"/>
      </cdr:nvSpPr>
      <cdr:spPr>
        <a:xfrm xmlns:a="http://schemas.openxmlformats.org/drawingml/2006/main">
          <a:off x="0" y="-4314825"/>
          <a:ext cx="381000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de-DE" sz="1200">
              <a:latin typeface="Times New Roman" panose="02020603050405020304" pitchFamily="18" charset="0"/>
              <a:cs typeface="Times New Roman" panose="02020603050405020304" pitchFamily="18" charset="0"/>
            </a:rPr>
            <a:t>(b)</a:t>
          </a:r>
        </a:p>
      </cdr:txBody>
    </cdr:sp>
  </cdr:relSizeAnchor>
  <cdr:relSizeAnchor xmlns:cdr="http://schemas.openxmlformats.org/drawingml/2006/chartDrawing">
    <cdr:from>
      <cdr:x>0.19475</cdr:x>
      <cdr:y>0.20569</cdr:y>
    </cdr:from>
    <cdr:to>
      <cdr:x>0.94312</cdr:x>
      <cdr:y>0.20569</cdr:y>
    </cdr:to>
    <cdr:cxnSp macro="">
      <cdr:nvCxnSpPr>
        <cdr:cNvPr id="4" name="Gerade Verbindung 3"/>
        <cdr:cNvCxnSpPr/>
      </cdr:nvCxnSpPr>
      <cdr:spPr>
        <a:xfrm xmlns:a="http://schemas.openxmlformats.org/drawingml/2006/main">
          <a:off x="630954" y="407259"/>
          <a:ext cx="2424536" cy="0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tx1">
              <a:lumMod val="65000"/>
              <a:lumOff val="35000"/>
            </a:schemeClr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0.48054</cdr:x>
      <cdr:y>0.14068</cdr:y>
    </cdr:from>
    <cdr:to>
      <cdr:x>0.59869</cdr:x>
      <cdr:y>0.25787</cdr:y>
    </cdr:to>
    <cdr:sp macro="" textlink="">
      <cdr:nvSpPr>
        <cdr:cNvPr id="5" name="Textfeld 1"/>
        <cdr:cNvSpPr txBox="1"/>
      </cdr:nvSpPr>
      <cdr:spPr>
        <a:xfrm xmlns:a="http://schemas.openxmlformats.org/drawingml/2006/main">
          <a:off x="1556832" y="278532"/>
          <a:ext cx="382791" cy="232028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0.49824</cdr:x>
      <cdr:y>0.1177</cdr:y>
    </cdr:from>
    <cdr:to>
      <cdr:x>0.60702</cdr:x>
      <cdr:y>0.25722</cdr:y>
    </cdr:to>
    <cdr:sp macro="" textlink="">
      <cdr:nvSpPr>
        <cdr:cNvPr id="6" name="Textfeld 5"/>
        <cdr:cNvSpPr txBox="1"/>
      </cdr:nvSpPr>
      <cdr:spPr>
        <a:xfrm xmlns:a="http://schemas.openxmlformats.org/drawingml/2006/main">
          <a:off x="1614170" y="233045"/>
          <a:ext cx="352425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de-DE" sz="1100" b="0">
              <a:latin typeface="Times New Roman" panose="02020603050405020304" pitchFamily="18" charset="0"/>
              <a:cs typeface="Times New Roman" panose="02020603050405020304" pitchFamily="18" charset="0"/>
            </a:rPr>
            <a:t>**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0.10878</cdr:x>
      <cdr:y>0.17319</cdr:y>
    </cdr:to>
    <cdr:sp macro="" textlink="">
      <cdr:nvSpPr>
        <cdr:cNvPr id="2" name="Textfeld 1"/>
        <cdr:cNvSpPr txBox="1"/>
      </cdr:nvSpPr>
      <cdr:spPr>
        <a:xfrm xmlns:a="http://schemas.openxmlformats.org/drawingml/2006/main">
          <a:off x="-895350" y="-6343650"/>
          <a:ext cx="352425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de-DE" sz="1100">
              <a:latin typeface="Times New Roman" panose="02020603050405020304" pitchFamily="18" charset="0"/>
              <a:cs typeface="Times New Roman" panose="02020603050405020304" pitchFamily="18" charset="0"/>
            </a:rPr>
            <a:t>(c)</a:t>
          </a:r>
        </a:p>
      </cdr:txBody>
    </cdr:sp>
  </cdr:relSizeAnchor>
</c:userShape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10C82-6DCD-4366-878C-205401028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122B3FE4.dotm</Template>
  <TotalTime>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Asklepios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Ariane Klein</dc:creator>
  <cp:lastModifiedBy>Giulia Armaroli</cp:lastModifiedBy>
  <cp:revision>8</cp:revision>
  <dcterms:created xsi:type="dcterms:W3CDTF">2020-03-16T10:14:00Z</dcterms:created>
  <dcterms:modified xsi:type="dcterms:W3CDTF">2020-03-23T16:31:00Z</dcterms:modified>
</cp:coreProperties>
</file>