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E1" w:rsidRPr="00AD6DEE" w:rsidRDefault="00684AE1" w:rsidP="00684AE1">
      <w:pPr>
        <w:spacing w:line="480" w:lineRule="auto"/>
        <w:jc w:val="both"/>
        <w:rPr>
          <w:rFonts w:eastAsia="Calibri" w:cs="Arial"/>
        </w:rPr>
      </w:pPr>
      <w:r w:rsidRPr="00AD6DEE">
        <w:rPr>
          <w:rFonts w:eastAsia="Calibri" w:cs="Arial"/>
          <w:b/>
        </w:rPr>
        <w:t xml:space="preserve">Additional file 1. </w:t>
      </w:r>
      <w:r w:rsidRPr="00AD6DEE">
        <w:rPr>
          <w:rFonts w:cs="Arial"/>
        </w:rPr>
        <w:t>Demographics</w:t>
      </w:r>
      <w:r w:rsidRPr="00AD6DEE">
        <w:rPr>
          <w:rFonts w:eastAsia="Calibri" w:cs="Arial"/>
        </w:rPr>
        <w:t xml:space="preserve"> and disease characteristics of patients with less than 2 years of the first non-RP symptom (n = 611)</w:t>
      </w:r>
    </w:p>
    <w:tbl>
      <w:tblPr>
        <w:tblStyle w:val="Tableausimple51"/>
        <w:tblW w:w="10632" w:type="dxa"/>
        <w:jc w:val="center"/>
        <w:tblLayout w:type="fixed"/>
        <w:tblLook w:val="00A0" w:firstRow="1" w:lastRow="0" w:firstColumn="1" w:lastColumn="0" w:noHBand="0" w:noVBand="0"/>
      </w:tblPr>
      <w:tblGrid>
        <w:gridCol w:w="3544"/>
        <w:gridCol w:w="992"/>
        <w:gridCol w:w="2127"/>
        <w:gridCol w:w="1134"/>
        <w:gridCol w:w="1984"/>
        <w:gridCol w:w="851"/>
      </w:tblGrid>
      <w:tr w:rsidR="00684AE1" w:rsidRPr="00DC2128" w:rsidTr="00B24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4" w:type="dxa"/>
            <w:tcBorders>
              <w:top w:val="single" w:sz="8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b/>
                <w:i w:val="0"/>
                <w:iCs w:val="0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spacing w:before="40" w:after="40"/>
              <w:ind w:left="-113" w:right="-113"/>
              <w:jc w:val="center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>No. with available data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84AE1" w:rsidRPr="00DC2128" w:rsidRDefault="00684AE1" w:rsidP="00B24183">
            <w:pPr>
              <w:ind w:right="-10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E20D70">
              <w:rPr>
                <w:rFonts w:eastAsia="Calibri" w:cs="Arial"/>
                <w:b/>
                <w:i w:val="0"/>
                <w:sz w:val="21"/>
                <w:szCs w:val="20"/>
              </w:rPr>
              <w:t xml:space="preserve">≤ 1 </w:t>
            </w: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 xml:space="preserve">mRSS available </w:t>
            </w:r>
          </w:p>
          <w:p w:rsidR="00684AE1" w:rsidRPr="00DC2128" w:rsidRDefault="00684AE1" w:rsidP="00B24183">
            <w:pPr>
              <w:spacing w:before="40" w:after="40"/>
              <w:ind w:left="-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>(n = 413)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spacing w:before="40" w:after="40"/>
              <w:ind w:right="-110"/>
              <w:jc w:val="center"/>
              <w:rPr>
                <w:rFonts w:cs="Arial"/>
                <w:b/>
                <w:i w:val="0"/>
                <w:sz w:val="21"/>
                <w:szCs w:val="20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 xml:space="preserve">No. </w:t>
            </w:r>
            <w:r>
              <w:rPr>
                <w:rFonts w:eastAsia="Calibri" w:cs="Arial"/>
                <w:b/>
                <w:i w:val="0"/>
                <w:sz w:val="21"/>
                <w:szCs w:val="20"/>
              </w:rPr>
              <w:t>w</w:t>
            </w: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>ith</w:t>
            </w:r>
            <w:r>
              <w:rPr>
                <w:rFonts w:eastAsia="Calibri" w:cs="Arial"/>
                <w:b/>
                <w:i w:val="0"/>
                <w:sz w:val="21"/>
                <w:szCs w:val="20"/>
              </w:rPr>
              <w:t xml:space="preserve"> available</w:t>
            </w: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 xml:space="preserve"> </w:t>
            </w:r>
            <w:r>
              <w:rPr>
                <w:rFonts w:eastAsia="Calibri" w:cs="Arial"/>
                <w:b/>
                <w:i w:val="0"/>
                <w:sz w:val="21"/>
                <w:szCs w:val="20"/>
              </w:rPr>
              <w:t>data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84AE1" w:rsidRPr="00DC2128" w:rsidRDefault="00684AE1" w:rsidP="00B24183">
            <w:pPr>
              <w:ind w:right="-10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>Patients included</w:t>
            </w:r>
          </w:p>
          <w:p w:rsidR="00684AE1" w:rsidRPr="00DC2128" w:rsidRDefault="00684AE1" w:rsidP="00B24183">
            <w:pPr>
              <w:spacing w:before="40" w:after="40"/>
              <w:ind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</w:rPr>
              <w:t>(n = 198)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84AE1" w:rsidRPr="00DC2128" w:rsidRDefault="00684AE1" w:rsidP="00B24183">
            <w:pPr>
              <w:spacing w:before="40" w:after="40"/>
              <w:jc w:val="center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cs="Arial"/>
                <w:b/>
                <w:i w:val="0"/>
                <w:sz w:val="21"/>
                <w:szCs w:val="20"/>
              </w:rPr>
              <w:t>p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Demographics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8" w:space="0" w:color="auto"/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sz w:val="21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Sex, 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>female, n</w:t>
            </w: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o.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413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336 (81.4)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198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145 (73.2)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0.022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Ethnicity, 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>n</w:t>
            </w: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o.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right="-245"/>
              <w:rPr>
                <w:rFonts w:eastAsia="Calibri" w:cs="Arial"/>
                <w:iCs/>
                <w:sz w:val="21"/>
                <w:szCs w:val="20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White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315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286 (90.8)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140 (87.0)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0.43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Black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315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22 (7.0)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 (9.9)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Asian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315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7 (2.2)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5 (3.1)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</w:rPr>
            </w:pP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Age, median (±SD), 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413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 xml:space="preserve">52.3 </w:t>
            </w:r>
            <w:r w:rsidRPr="00DC2128">
              <w:rPr>
                <w:rFonts w:eastAsia="Calibri" w:cs="Arial"/>
                <w:sz w:val="21"/>
                <w:szCs w:val="20"/>
              </w:rPr>
              <w:sym w:font="Symbol" w:char="F0B1"/>
            </w:r>
            <w:r w:rsidRPr="00DC2128">
              <w:rPr>
                <w:rFonts w:eastAsia="Calibri" w:cs="Arial"/>
                <w:sz w:val="21"/>
                <w:szCs w:val="20"/>
              </w:rPr>
              <w:t>15.8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198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 xml:space="preserve">51.1 </w:t>
            </w:r>
            <w:r w:rsidRPr="00DC2128">
              <w:rPr>
                <w:rFonts w:eastAsia="Calibri" w:cs="Arial"/>
                <w:sz w:val="21"/>
                <w:szCs w:val="20"/>
              </w:rPr>
              <w:sym w:font="Symbol" w:char="F0B1"/>
            </w:r>
            <w:r w:rsidRPr="00DC2128">
              <w:rPr>
                <w:rFonts w:eastAsia="Calibri" w:cs="Arial"/>
                <w:sz w:val="21"/>
                <w:szCs w:val="20"/>
              </w:rPr>
              <w:t>14.3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0.39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Disease characteristics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 w:firstLine="360"/>
              <w:jc w:val="center"/>
              <w:rPr>
                <w:rFonts w:eastAsia="Calibri" w:cs="Arial"/>
                <w:iCs/>
                <w:sz w:val="21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ind w:firstLine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Autoantibody status </w:t>
            </w:r>
            <w:r w:rsidRPr="00422AF5">
              <w:rPr>
                <w:rFonts w:eastAsia="Calibri" w:cs="Arial"/>
                <w:i w:val="0"/>
                <w:sz w:val="21"/>
                <w:szCs w:val="20"/>
                <w:vertAlign w:val="superscript"/>
                <w:lang w:val="en-US"/>
              </w:rPr>
              <w:t>a</w:t>
            </w: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, 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>n</w:t>
            </w: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o.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sz w:val="21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A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>nti-nuclear antibody positive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Del="003E5C7B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300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281 (93.7)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165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156 (94.5)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0.70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A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>nti-centromere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280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153 (54.6)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152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43 (28.3)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&lt;.001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A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>nti-topoisomerase 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280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97 (34.6)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152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85 (55.9)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&lt;.001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Anti-RNAP3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280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3 (1.1)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152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8 (5.3)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0.020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Anti-U1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</w:t>
            </w: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RNP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280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17 (6.1)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152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9 (5.9)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0.95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Anti-PM/Scl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280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 w:firstLine="3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11 (3.9)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152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ind w:firstLine="3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6 (4.0)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 w:firstLine="360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iCs/>
                <w:sz w:val="21"/>
                <w:szCs w:val="20"/>
              </w:rPr>
              <w:t>&gt;</w:t>
            </w:r>
            <w:r w:rsidRPr="00DC2128">
              <w:rPr>
                <w:rFonts w:eastAsia="Calibri" w:cs="Arial"/>
                <w:iCs/>
                <w:sz w:val="21"/>
                <w:szCs w:val="20"/>
              </w:rPr>
              <w:t>.99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Disease duration, median (IQR), 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413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 xml:space="preserve">0.7 </w:t>
            </w:r>
            <w:r w:rsidRPr="00DC2128">
              <w:rPr>
                <w:rFonts w:eastAsia="Calibri" w:cs="Arial"/>
                <w:sz w:val="21"/>
                <w:szCs w:val="20"/>
              </w:rPr>
              <w:t>(0.3; 1.2)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198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0.8 (0.4; 1.2)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0.018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Duration from RP, median (IQR), 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371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2.0 (0.7; 6.3)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187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1.3 (0.6; 3.9)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0.004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 w:val="0"/>
                <w:sz w:val="21"/>
                <w:szCs w:val="20"/>
                <w:lang w:val="en-US"/>
              </w:rPr>
              <w:t>Follow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</w:t>
            </w:r>
            <w:r w:rsidRPr="00DC2128">
              <w:rPr>
                <w:rFonts w:eastAsia="Calibri" w:cs="Arial"/>
                <w:i w:val="0"/>
                <w:sz w:val="21"/>
                <w:szCs w:val="20"/>
                <w:lang w:val="en-US"/>
              </w:rPr>
              <w:t>up, median (IQR), 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iCs/>
                <w:sz w:val="21"/>
                <w:szCs w:val="20"/>
                <w:lang w:val="en-US"/>
              </w:rPr>
              <w:t>310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725EBA">
              <w:rPr>
                <w:rFonts w:eastAsia="Calibri" w:cs="Arial"/>
                <w:sz w:val="21"/>
                <w:szCs w:val="20"/>
                <w:lang w:val="en-US"/>
              </w:rPr>
              <w:t>9.7 (5.0; 15.0</w:t>
            </w:r>
            <w:r>
              <w:rPr>
                <w:rFonts w:eastAsia="Calibri" w:cs="Arial"/>
                <w:sz w:val="21"/>
                <w:szCs w:val="20"/>
                <w:lang w:val="en-US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198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6.3 (3.8; 8.9)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&lt;.001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Cutaneous subset, 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>limited, n</w:t>
            </w: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o.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  <w:lang w:val="en-US"/>
              </w:rPr>
              <w:t>400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  <w:lang w:val="en-US"/>
              </w:rPr>
              <w:t>292 (73.0)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195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98 (50.3)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&lt;.001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Default="00684AE1" w:rsidP="00B24183">
            <w:pPr>
              <w:jc w:val="left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 xml:space="preserve">Baseline organ involvement, </w:t>
            </w:r>
          </w:p>
          <w:p w:rsidR="00684AE1" w:rsidRPr="00FC1F19" w:rsidRDefault="00684AE1" w:rsidP="00B24183">
            <w:pPr>
              <w:jc w:val="left"/>
              <w:rPr>
                <w:rFonts w:eastAsia="Calibri" w:cs="Arial"/>
                <w:b/>
                <w:i w:val="0"/>
                <w:iCs w:val="0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n</w:t>
            </w: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o.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vertAlign w:val="superscript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Telangiectasia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367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168 (45.8)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183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 xml:space="preserve"> 76 (41.5)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0.35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Calcinosis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365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41 (11.2)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175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 xml:space="preserve"> 20 (11.4)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0.95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Joints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387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207 (53.5)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191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114 (59.7)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0.16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Muscles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401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104 (25.9)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194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 xml:space="preserve"> 53 (27.3)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0.72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Digital ulcers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322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135 (41.9)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181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 xml:space="preserve"> 76 (42.0)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</w:rPr>
              <w:t>&gt;</w:t>
            </w:r>
            <w:r w:rsidRPr="00DC2128">
              <w:rPr>
                <w:rFonts w:eastAsia="Calibri" w:cs="Arial"/>
                <w:sz w:val="21"/>
                <w:szCs w:val="20"/>
              </w:rPr>
              <w:t>.99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Gastrointestinal tracts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379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135 (35.6)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187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 xml:space="preserve"> 99 (52.9)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&lt;.001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D63395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vertAlign w:val="superscript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Interstitial lung disease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368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131 (35.6)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181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72 (39.8)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0.34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FVC, median % (IQR)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Del="004F47B2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iCs/>
                <w:sz w:val="21"/>
                <w:szCs w:val="20"/>
                <w:lang w:val="en-US"/>
              </w:rPr>
              <w:t>269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96.0 (74.0; 110.0)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Del="004F47B2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160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Del="004F47B2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96.0 (76.0; 108.0)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Del="004F47B2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&gt;.99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DLCO, median % (IQR)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Del="004F47B2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iCs/>
                <w:sz w:val="21"/>
                <w:szCs w:val="20"/>
                <w:lang w:val="en-US"/>
              </w:rPr>
              <w:t>274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69.0 (55.0; 81.0)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Del="004F47B2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155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Del="004F47B2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63.0 (50.0; 78.0)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Del="004F47B2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>
              <w:rPr>
                <w:rFonts w:eastAsia="Calibri" w:cs="Arial"/>
                <w:sz w:val="21"/>
                <w:szCs w:val="20"/>
                <w:lang w:val="en-US"/>
              </w:rPr>
              <w:t>0.024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Heart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377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 xml:space="preserve"> 37 (9.8)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187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 xml:space="preserve"> 15 (8.0)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0.49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Pulmonary hypertension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388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31 (8.0)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194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 (7.7)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0.91</w:t>
            </w: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Renal crisis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42 (14.0)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12 (9.8)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0.23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 xml:space="preserve">Biological variables, </w:t>
            </w:r>
            <w:r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n</w:t>
            </w: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o.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iCs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Baseline CRP level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, </w:t>
            </w: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≥6mg/L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278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89 (32.0)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148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51 (34.5)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0.61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 xml:space="preserve">Treatments </w:t>
            </w:r>
            <w:r>
              <w:rPr>
                <w:rFonts w:eastAsia="Calibri" w:cs="Arial"/>
                <w:b/>
                <w:i w:val="0"/>
                <w:sz w:val="21"/>
                <w:szCs w:val="20"/>
                <w:vertAlign w:val="superscript"/>
                <w:lang w:val="en-US"/>
              </w:rPr>
              <w:t>b</w:t>
            </w: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 xml:space="preserve">, </w:t>
            </w:r>
            <w:r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n</w:t>
            </w:r>
            <w:r w:rsidRPr="00422AF5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o.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>Steroids and/or 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296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189 (63.9)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189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127 (68.7)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highlight w:val="yellow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0.28</w:t>
            </w: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FC1F19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Steroids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328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169 (51.5)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181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112 (61.9)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Methotrexate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283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43 (15.2)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166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32 (19.3)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lastRenderedPageBreak/>
              <w:t xml:space="preserve">  Azathioprine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276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21 (7.6)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160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19 (11.8)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Mycophenolate mofetil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272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39 (14.3)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170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58 (34.1)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</w:p>
        </w:tc>
      </w:tr>
      <w:tr w:rsidR="00684AE1" w:rsidRPr="00DC2128" w:rsidTr="00B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Cyclophosphamide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285</w:t>
            </w:r>
          </w:p>
        </w:tc>
        <w:tc>
          <w:tcPr>
            <w:tcW w:w="2127" w:type="dxa"/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57 (20.0)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174</w:t>
            </w:r>
          </w:p>
        </w:tc>
        <w:tc>
          <w:tcPr>
            <w:tcW w:w="1984" w:type="dxa"/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55 (31.6)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</w:p>
        </w:tc>
      </w:tr>
      <w:tr w:rsidR="00684AE1" w:rsidRPr="00DC2128" w:rsidTr="00B2418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684AE1" w:rsidRPr="00422AF5" w:rsidRDefault="00684AE1" w:rsidP="00B24183">
            <w:pPr>
              <w:jc w:val="left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422AF5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 Rituximab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left w:val="nil"/>
              <w:bottom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102" w:right="-107"/>
              <w:jc w:val="center"/>
              <w:rPr>
                <w:rFonts w:eastAsia="Calibri" w:cs="Arial"/>
                <w:iCs/>
                <w:sz w:val="21"/>
                <w:szCs w:val="20"/>
              </w:rPr>
            </w:pPr>
            <w:r w:rsidRPr="00DC2128">
              <w:rPr>
                <w:rFonts w:eastAsia="Calibri" w:cs="Arial"/>
                <w:iCs/>
                <w:sz w:val="21"/>
                <w:szCs w:val="20"/>
              </w:rPr>
              <w:t>184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5 (2.7)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606"/>
                <w:tab w:val="left" w:pos="1452"/>
              </w:tabs>
              <w:ind w:left="-103" w:right="-245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153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tabs>
                <w:tab w:val="left" w:pos="1452"/>
              </w:tabs>
              <w:ind w:right="17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7 (4.6)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8" w:space="0" w:color="auto"/>
            </w:tcBorders>
            <w:shd w:val="clear" w:color="auto" w:fill="auto"/>
          </w:tcPr>
          <w:p w:rsidR="00684AE1" w:rsidRPr="00DC2128" w:rsidRDefault="00684AE1" w:rsidP="00B24183">
            <w:pPr>
              <w:ind w:left="-251" w:right="28"/>
              <w:jc w:val="right"/>
              <w:rPr>
                <w:rFonts w:eastAsia="Calibri" w:cs="Arial"/>
                <w:sz w:val="21"/>
                <w:szCs w:val="20"/>
              </w:rPr>
            </w:pPr>
          </w:p>
        </w:tc>
      </w:tr>
    </w:tbl>
    <w:p w:rsidR="002E3246" w:rsidRDefault="00684AE1">
      <w:r w:rsidRPr="00C97227">
        <w:rPr>
          <w:rFonts w:eastAsia="Calibri" w:cs="Arial"/>
          <w:sz w:val="22"/>
          <w:szCs w:val="20"/>
        </w:rPr>
        <w:t>Numbers are given as % or mean ±standard deviation</w:t>
      </w:r>
      <w:r>
        <w:rPr>
          <w:rFonts w:eastAsia="Calibri" w:cs="Arial"/>
          <w:sz w:val="22"/>
          <w:szCs w:val="20"/>
        </w:rPr>
        <w:t xml:space="preserve"> (SD)</w:t>
      </w:r>
      <w:r w:rsidRPr="00C97227">
        <w:rPr>
          <w:rFonts w:eastAsia="Calibri" w:cs="Arial"/>
          <w:sz w:val="22"/>
          <w:szCs w:val="20"/>
        </w:rPr>
        <w:t xml:space="preserve"> or median </w:t>
      </w:r>
      <w:r>
        <w:rPr>
          <w:rFonts w:eastAsia="Calibri" w:cs="Arial"/>
          <w:sz w:val="22"/>
          <w:szCs w:val="20"/>
        </w:rPr>
        <w:t xml:space="preserve">with </w:t>
      </w:r>
      <w:r w:rsidRPr="00C97227">
        <w:rPr>
          <w:rFonts w:eastAsia="Calibri" w:cs="Arial"/>
          <w:sz w:val="22"/>
          <w:szCs w:val="20"/>
        </w:rPr>
        <w:t>interquartile range</w:t>
      </w:r>
      <w:r>
        <w:rPr>
          <w:rFonts w:eastAsia="Calibri" w:cs="Arial"/>
          <w:sz w:val="22"/>
          <w:szCs w:val="20"/>
        </w:rPr>
        <w:t xml:space="preserve"> (IQR)</w:t>
      </w:r>
      <w:r w:rsidRPr="00C97227">
        <w:rPr>
          <w:rFonts w:eastAsia="Calibri" w:cs="Arial"/>
          <w:sz w:val="22"/>
          <w:szCs w:val="20"/>
        </w:rPr>
        <w:t>.</w:t>
      </w:r>
      <w:r>
        <w:rPr>
          <w:rFonts w:eastAsia="Calibri" w:cs="Arial"/>
          <w:sz w:val="20"/>
          <w:szCs w:val="20"/>
        </w:rPr>
        <w:t xml:space="preserve"> Anti-</w:t>
      </w:r>
      <w:r w:rsidRPr="001443A9">
        <w:rPr>
          <w:rFonts w:eastAsia="Calibri" w:cs="Arial"/>
          <w:sz w:val="20"/>
          <w:szCs w:val="20"/>
        </w:rPr>
        <w:t>RNAP3</w:t>
      </w:r>
      <w:r w:rsidRPr="00C97227">
        <w:rPr>
          <w:rFonts w:eastAsia="Calibri" w:cs="Arial"/>
          <w:sz w:val="22"/>
          <w:szCs w:val="20"/>
        </w:rPr>
        <w:t xml:space="preserve">: anti-RNA polymerase III antibodies; CRP: C-reactive protein; </w:t>
      </w:r>
      <w:r>
        <w:rPr>
          <w:rFonts w:eastAsia="Calibri" w:cs="Arial"/>
          <w:sz w:val="22"/>
          <w:szCs w:val="20"/>
        </w:rPr>
        <w:t>d</w:t>
      </w:r>
      <w:r w:rsidRPr="00C97227">
        <w:rPr>
          <w:rFonts w:eastAsia="Calibri" w:cs="Arial"/>
          <w:sz w:val="22"/>
          <w:szCs w:val="20"/>
        </w:rPr>
        <w:t xml:space="preserve">isease duration: duration from the first non-RP symptom; </w:t>
      </w:r>
      <w:r>
        <w:rPr>
          <w:rFonts w:eastAsia="Calibri" w:cs="Arial"/>
          <w:sz w:val="22"/>
          <w:szCs w:val="20"/>
        </w:rPr>
        <w:t xml:space="preserve">DLCO: diffusing capacity of the lung for carbon monoxide (% of predicted value); FVC: forced vital capacity (% of predicted value); </w:t>
      </w:r>
      <w:r w:rsidRPr="00C97227">
        <w:rPr>
          <w:rFonts w:eastAsia="Calibri" w:cs="Arial"/>
          <w:sz w:val="22"/>
          <w:szCs w:val="20"/>
        </w:rPr>
        <w:t>RP: Raynaud</w:t>
      </w:r>
      <w:r>
        <w:rPr>
          <w:rFonts w:eastAsia="Calibri" w:cs="Arial"/>
          <w:sz w:val="22"/>
          <w:szCs w:val="20"/>
        </w:rPr>
        <w:t>’s</w:t>
      </w:r>
      <w:r w:rsidRPr="00C97227">
        <w:rPr>
          <w:rFonts w:eastAsia="Calibri" w:cs="Arial"/>
          <w:sz w:val="22"/>
          <w:szCs w:val="20"/>
        </w:rPr>
        <w:t xml:space="preserve"> phenomenon; y: years; </w:t>
      </w:r>
      <w:r w:rsidRPr="00C97227">
        <w:rPr>
          <w:rFonts w:eastAsia="Calibri" w:cs="Arial"/>
          <w:sz w:val="22"/>
          <w:szCs w:val="20"/>
          <w:vertAlign w:val="superscript"/>
        </w:rPr>
        <w:t>a</w:t>
      </w:r>
      <w:r w:rsidRPr="00C97227">
        <w:rPr>
          <w:rFonts w:eastAsia="Calibri" w:cs="Arial"/>
          <w:sz w:val="22"/>
          <w:szCs w:val="20"/>
        </w:rPr>
        <w:t xml:space="preserve">the sum of % may be different from 100% because some patients had </w:t>
      </w:r>
      <w:r w:rsidRPr="00370E68">
        <w:rPr>
          <w:rFonts w:eastAsia="Calibri" w:cs="Arial"/>
          <w:sz w:val="22"/>
          <w:szCs w:val="22"/>
        </w:rPr>
        <w:t xml:space="preserve">either </w:t>
      </w:r>
      <w:r>
        <w:rPr>
          <w:rFonts w:eastAsia="Calibri" w:cs="Arial"/>
          <w:sz w:val="22"/>
          <w:szCs w:val="22"/>
        </w:rPr>
        <w:t xml:space="preserve">unidentified </w:t>
      </w:r>
      <w:r w:rsidRPr="00370E68">
        <w:rPr>
          <w:rFonts w:eastAsia="Calibri" w:cs="Arial"/>
          <w:sz w:val="22"/>
          <w:szCs w:val="22"/>
        </w:rPr>
        <w:t>ANA</w:t>
      </w:r>
      <w:r>
        <w:rPr>
          <w:rFonts w:eastAsia="Calibri" w:cs="Arial"/>
          <w:sz w:val="22"/>
          <w:szCs w:val="22"/>
        </w:rPr>
        <w:t xml:space="preserve"> or</w:t>
      </w:r>
      <w:r w:rsidRPr="00370E68">
        <w:rPr>
          <w:rFonts w:eastAsia="Calibri" w:cs="Arial"/>
          <w:sz w:val="22"/>
          <w:szCs w:val="22"/>
        </w:rPr>
        <w:t xml:space="preserve"> multiple</w:t>
      </w:r>
      <w:r>
        <w:rPr>
          <w:rFonts w:eastAsia="Calibri" w:cs="Arial"/>
          <w:sz w:val="22"/>
          <w:szCs w:val="22"/>
        </w:rPr>
        <w:t xml:space="preserve"> auto</w:t>
      </w:r>
      <w:r w:rsidRPr="00370E68">
        <w:rPr>
          <w:rFonts w:cs="Arial"/>
          <w:sz w:val="22"/>
          <w:szCs w:val="22"/>
        </w:rPr>
        <w:t>antibodies</w:t>
      </w:r>
      <w:r w:rsidRPr="00C97227">
        <w:rPr>
          <w:rFonts w:eastAsia="Calibri" w:cs="Arial"/>
          <w:sz w:val="22"/>
          <w:szCs w:val="20"/>
        </w:rPr>
        <w:t xml:space="preserve">; </w:t>
      </w:r>
      <w:r w:rsidRPr="00C97227">
        <w:rPr>
          <w:rFonts w:eastAsia="Calibri" w:cs="Arial"/>
          <w:sz w:val="22"/>
          <w:szCs w:val="20"/>
          <w:vertAlign w:val="superscript"/>
        </w:rPr>
        <w:t>b</w:t>
      </w:r>
      <w:r>
        <w:rPr>
          <w:rFonts w:eastAsia="Calibri" w:cs="Arial"/>
          <w:sz w:val="22"/>
          <w:szCs w:val="20"/>
        </w:rPr>
        <w:t>during follow up</w:t>
      </w:r>
      <w:bookmarkStart w:id="0" w:name="_GoBack"/>
      <w:bookmarkEnd w:id="0"/>
    </w:p>
    <w:sectPr w:rsidR="002E3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E1"/>
    <w:rsid w:val="002E3246"/>
    <w:rsid w:val="00684AE1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2443</Characters>
  <Application>Microsoft Office Word</Application>
  <DocSecurity>0</DocSecurity>
  <Lines>64</Lines>
  <Paragraphs>38</Paragraphs>
  <ScaleCrop>false</ScaleCrop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2020-01-31T12:53:00Z</dcterms:created>
  <dcterms:modified xsi:type="dcterms:W3CDTF">2020-01-31T14:08:00Z</dcterms:modified>
</cp:coreProperties>
</file>