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41" w:rsidRPr="00DE3F41" w:rsidRDefault="00DE3F41" w:rsidP="00DE3F41">
      <w:pPr>
        <w:spacing w:after="60" w:line="360" w:lineRule="auto"/>
        <w:rPr>
          <w:rFonts w:ascii="Arial" w:eastAsia="Calibri" w:hAnsi="Arial" w:cs="Times New Roman"/>
          <w:iCs/>
          <w:sz w:val="24"/>
          <w:lang w:val="en-US" w:eastAsia="de-CH"/>
        </w:rPr>
      </w:pPr>
      <w:proofErr w:type="gramStart"/>
      <w:r>
        <w:rPr>
          <w:rFonts w:ascii="Arial" w:eastAsia="Calibri" w:hAnsi="Arial" w:cs="Times New Roman"/>
          <w:iCs/>
          <w:sz w:val="24"/>
          <w:lang w:val="en-US"/>
        </w:rPr>
        <w:t>s</w:t>
      </w:r>
      <w:bookmarkStart w:id="0" w:name="_GoBack"/>
      <w:bookmarkEnd w:id="0"/>
      <w:r>
        <w:rPr>
          <w:rFonts w:ascii="Arial" w:eastAsia="Calibri" w:hAnsi="Arial" w:cs="Times New Roman"/>
          <w:iCs/>
          <w:sz w:val="24"/>
          <w:lang w:val="en-US"/>
        </w:rPr>
        <w:t>upplementary</w:t>
      </w:r>
      <w:proofErr w:type="gramEnd"/>
      <w:r>
        <w:rPr>
          <w:rFonts w:ascii="Arial" w:eastAsia="Calibri" w:hAnsi="Arial" w:cs="Times New Roman"/>
          <w:iCs/>
          <w:sz w:val="24"/>
          <w:lang w:val="en-US"/>
        </w:rPr>
        <w:t xml:space="preserve"> t</w:t>
      </w:r>
      <w:r w:rsidRPr="00DE3F41">
        <w:rPr>
          <w:rFonts w:ascii="Arial" w:eastAsia="Calibri" w:hAnsi="Arial" w:cs="Times New Roman"/>
          <w:iCs/>
          <w:sz w:val="24"/>
          <w:lang w:val="en-US"/>
        </w:rPr>
        <w:t xml:space="preserve">able </w:t>
      </w:r>
      <w:r w:rsidRPr="00DE3F41">
        <w:rPr>
          <w:rFonts w:ascii="Arial" w:eastAsia="Calibri" w:hAnsi="Arial" w:cs="Times New Roman"/>
          <w:iCs/>
          <w:sz w:val="24"/>
          <w:lang w:val="en-US"/>
        </w:rPr>
        <w:fldChar w:fldCharType="begin"/>
      </w:r>
      <w:r w:rsidRPr="00DE3F41">
        <w:rPr>
          <w:rFonts w:ascii="Arial" w:eastAsia="Calibri" w:hAnsi="Arial" w:cs="Times New Roman"/>
          <w:iCs/>
          <w:sz w:val="24"/>
          <w:lang w:val="en-US"/>
        </w:rPr>
        <w:instrText xml:space="preserve"> SEQ Table \* ARABIC </w:instrText>
      </w:r>
      <w:r w:rsidRPr="00DE3F41">
        <w:rPr>
          <w:rFonts w:ascii="Arial" w:eastAsia="Calibri" w:hAnsi="Arial" w:cs="Times New Roman"/>
          <w:iCs/>
          <w:sz w:val="24"/>
          <w:lang w:val="en-US"/>
        </w:rPr>
        <w:fldChar w:fldCharType="separate"/>
      </w:r>
      <w:r w:rsidRPr="00DE3F41">
        <w:rPr>
          <w:rFonts w:ascii="Arial" w:eastAsia="Calibri" w:hAnsi="Arial" w:cs="Times New Roman"/>
          <w:iCs/>
          <w:noProof/>
          <w:sz w:val="24"/>
          <w:lang w:val="en-US"/>
        </w:rPr>
        <w:t>1</w:t>
      </w:r>
      <w:r w:rsidRPr="00DE3F41">
        <w:rPr>
          <w:rFonts w:ascii="Arial" w:eastAsia="Calibri" w:hAnsi="Arial" w:cs="Times New Roman"/>
          <w:iCs/>
          <w:sz w:val="24"/>
          <w:lang w:val="en-US"/>
        </w:rPr>
        <w:fldChar w:fldCharType="end"/>
      </w:r>
      <w:r w:rsidRPr="00DE3F41">
        <w:rPr>
          <w:rFonts w:ascii="Arial" w:eastAsia="Calibri" w:hAnsi="Arial" w:cs="Times New Roman"/>
          <w:iCs/>
          <w:sz w:val="24"/>
          <w:lang w:val="en-US" w:eastAsia="de-CH"/>
        </w:rPr>
        <w:t>: Characteristics of patients in the complete dataset at baseline. Only the time up to the first SRC is considered.</w:t>
      </w:r>
    </w:p>
    <w:tbl>
      <w:tblPr>
        <w:tblW w:w="9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843"/>
        <w:gridCol w:w="1538"/>
        <w:gridCol w:w="163"/>
        <w:gridCol w:w="1701"/>
        <w:gridCol w:w="236"/>
        <w:gridCol w:w="160"/>
        <w:gridCol w:w="160"/>
        <w:gridCol w:w="163"/>
      </w:tblGrid>
      <w:tr w:rsidR="00DE3F41" w:rsidRPr="00DE3F41" w:rsidTr="00E30D02">
        <w:trPr>
          <w:trHeight w:val="288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Patients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with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SRC (N=169)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Patients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without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SRC (N=9521)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Median# or risk difference (95% CI)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P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value</w:t>
            </w:r>
            <w:proofErr w:type="spellEnd"/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en-US" w:eastAsia="de-CH"/>
              </w:rPr>
            </w:pPr>
            <w:proofErr w:type="gramStart"/>
            <w:r w:rsidRPr="00DE3F41">
              <w:rPr>
                <w:rFonts w:ascii="Arial" w:eastAsia="Times New Roman" w:hAnsi="Arial" w:cs="Arial"/>
                <w:i/>
                <w:sz w:val="16"/>
                <w:szCs w:val="16"/>
                <w:lang w:val="en-US" w:eastAsia="de-CH"/>
              </w:rPr>
              <w:t>median</w:t>
            </w:r>
            <w:proofErr w:type="gramEnd"/>
            <w:r w:rsidRPr="00DE3F41">
              <w:rPr>
                <w:rFonts w:ascii="Arial" w:eastAsia="Times New Roman" w:hAnsi="Arial" w:cs="Arial"/>
                <w:i/>
                <w:sz w:val="16"/>
                <w:szCs w:val="16"/>
                <w:lang w:val="en-US" w:eastAsia="de-CH"/>
              </w:rPr>
              <w:t xml:space="preserve"> (IQR) or no. of patients (%)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Age (y)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57.0 (47.1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67.3)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55.3 (45.0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64.5)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1.9 (-0.3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4.0)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0.09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Sex (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female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129/169 (76%)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8229/9521 (86%)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-10% (-17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-4%)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Time between onset of scleroderma and inclusion (y)*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3.1 (1.2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9.6)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5.2 (2.0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11.1)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-1.1 (-1.8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-0.6)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Extent of skin involvement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 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no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skin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involvement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4/167 (2%)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306/9267 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 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only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sclerodactyly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16/167 (10%)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972/9267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 xml:space="preserve">   limited cutaneous involvement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65</w:t>
            </w: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/167 (39%)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5280</w:t>
            </w: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/9267 (57%)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  diffuse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cutaneous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involvement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82/167 (49%)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2709/9267 (29%)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Arterial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hypertension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63/166 (38%)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1862/9418 (20%)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18% (11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26%)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Esophagal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symptoms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110/168 (65%)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5987/9441 (63%)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2% (-5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9%)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0.58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Stomach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symptoms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40/168 (24%)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2069/9397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2% (-5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8%)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0.58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Intestinal symptoms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33</w:t>
            </w: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/167 (20%)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2189</w:t>
            </w: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/9418 (23%)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-3</w:t>
            </w: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% (-10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3%)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0.29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Palpitations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37/164 (23%)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2034/9279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1% (-6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7%)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0.84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Joint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contracture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60/164 (37%)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2459/9332 (26%)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10% (3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18%)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0.003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Tendon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friction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rub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28/166 (17%)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722/9283 (8%)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9% (3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15%)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Muscle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weakness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51/167 (31%)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1813/9336 (19%)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11% (4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18%)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Muslce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atrophy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29/166 (17%)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765/9301 (8%)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9% (3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15%)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ANA positive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156/163 (96%)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8772/9277 (95%)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1% (-2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4%)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0.52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ACA positive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39/157 (25%)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3450/8914 (39%)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-14% (-21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-7%)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&lt;0.001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SC170 positive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72/158 (46%)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2962/8926 (33%)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12% (5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20%)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0.001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RNA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polymerase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III positive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2/36 (6%)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137/2864 (5%)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1% (-7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8%)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0.83</w:t>
            </w:r>
          </w:p>
        </w:tc>
      </w:tr>
      <w:tr w:rsidR="00DE3F41" w:rsidRPr="00DE3F41" w:rsidTr="00E30D02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ACR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criteria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fullfilled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143/165 (87%)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7735/9324 (83%)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4% (-2 </w:t>
            </w:r>
            <w:proofErr w:type="spellStart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to</w:t>
            </w:r>
            <w:proofErr w:type="spellEnd"/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 xml:space="preserve"> 9%)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de-CH" w:eastAsia="de-CH"/>
              </w:rPr>
              <w:t>0.21</w:t>
            </w:r>
          </w:p>
        </w:tc>
      </w:tr>
      <w:tr w:rsidR="00DE3F41" w:rsidRPr="00DE3F41" w:rsidTr="00E30D02">
        <w:trPr>
          <w:trHeight w:val="288"/>
        </w:trPr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*Missing data for 18 patients with and 1136 patients without SRC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</w:tr>
      <w:tr w:rsidR="00DE3F41" w:rsidRPr="00DE3F41" w:rsidTr="00E30D02">
        <w:trPr>
          <w:trHeight w:val="288"/>
        </w:trPr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  <w:r w:rsidRPr="00DE3F41"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  <w:t>#Generalized Hodges-Lehmann median differences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F41" w:rsidRPr="00DE3F41" w:rsidRDefault="00DE3F41" w:rsidP="00DE3F4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de-CH"/>
              </w:rPr>
            </w:pPr>
          </w:p>
        </w:tc>
      </w:tr>
    </w:tbl>
    <w:p w:rsidR="001326A6" w:rsidRDefault="001326A6"/>
    <w:sectPr w:rsidR="001326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41"/>
    <w:rsid w:val="001326A6"/>
    <w:rsid w:val="003B2AA0"/>
    <w:rsid w:val="00AD48B5"/>
    <w:rsid w:val="00D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Helios Kliniken GmbH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Adler, Sabine</dc:creator>
  <cp:lastModifiedBy>Adler, Sabine</cp:lastModifiedBy>
  <cp:revision>1</cp:revision>
  <dcterms:created xsi:type="dcterms:W3CDTF">2020-02-04T21:23:00Z</dcterms:created>
  <dcterms:modified xsi:type="dcterms:W3CDTF">2020-02-04T21:30:00Z</dcterms:modified>
</cp:coreProperties>
</file>