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B3318" w14:textId="77777777" w:rsidR="007C2C90" w:rsidRDefault="007C2C90" w:rsidP="002B693E">
      <w:pPr>
        <w:spacing w:line="480" w:lineRule="auto"/>
        <w:rPr>
          <w:b/>
          <w:lang w:val="en-AU"/>
        </w:rPr>
      </w:pPr>
      <w:r>
        <w:rPr>
          <w:b/>
          <w:lang w:val="en-AU"/>
        </w:rPr>
        <w:t>SUPPLEMENTAL MATERIAL</w:t>
      </w:r>
    </w:p>
    <w:p w14:paraId="422410DC" w14:textId="77777777" w:rsidR="007C2C90" w:rsidRDefault="007C2C90" w:rsidP="002B693E">
      <w:pPr>
        <w:spacing w:line="480" w:lineRule="auto"/>
        <w:rPr>
          <w:b/>
          <w:lang w:val="en-AU"/>
        </w:rPr>
      </w:pPr>
    </w:p>
    <w:p w14:paraId="7CA7AC66" w14:textId="77777777" w:rsidR="007C2C90" w:rsidRPr="0034676B" w:rsidRDefault="007C2C90" w:rsidP="002B693E">
      <w:pPr>
        <w:spacing w:line="480" w:lineRule="auto"/>
        <w:rPr>
          <w:b/>
          <w:lang w:val="en-AU"/>
        </w:rPr>
      </w:pPr>
      <w:r w:rsidRPr="0034676B">
        <w:rPr>
          <w:b/>
          <w:lang w:val="en-AU"/>
        </w:rPr>
        <w:t>The comparative effect of exposure to various risk factors on the risk of hyperuricaemia: diet has a weak causal effect</w:t>
      </w:r>
    </w:p>
    <w:p w14:paraId="478DB526" w14:textId="77777777" w:rsidR="007C2C90" w:rsidRPr="0034676B" w:rsidRDefault="007C2C90" w:rsidP="002B693E">
      <w:pPr>
        <w:spacing w:line="480" w:lineRule="auto"/>
        <w:rPr>
          <w:lang w:val="en-AU"/>
        </w:rPr>
      </w:pPr>
    </w:p>
    <w:p w14:paraId="226B4275" w14:textId="77777777" w:rsidR="007C2C90" w:rsidRPr="0034676B" w:rsidRDefault="007C2C90" w:rsidP="002B693E">
      <w:pPr>
        <w:spacing w:line="480" w:lineRule="auto"/>
        <w:rPr>
          <w:lang w:val="en-AU"/>
        </w:rPr>
      </w:pPr>
      <w:r w:rsidRPr="0034676B">
        <w:rPr>
          <w:lang w:val="en-AU"/>
        </w:rPr>
        <w:t>Ruth K</w:t>
      </w:r>
      <w:r>
        <w:rPr>
          <w:lang w:val="en-AU"/>
        </w:rPr>
        <w:t>G</w:t>
      </w:r>
      <w:r w:rsidRPr="0034676B">
        <w:rPr>
          <w:lang w:val="en-AU"/>
        </w:rPr>
        <w:t xml:space="preserve"> Topless</w:t>
      </w:r>
      <w:r w:rsidRPr="0034676B">
        <w:rPr>
          <w:vertAlign w:val="superscript"/>
          <w:lang w:val="en-AU"/>
        </w:rPr>
        <w:t>1</w:t>
      </w:r>
      <w:r w:rsidRPr="0034676B">
        <w:rPr>
          <w:lang w:val="en-AU"/>
        </w:rPr>
        <w:t>*, Tanya J Major</w:t>
      </w:r>
      <w:r w:rsidRPr="0034676B">
        <w:rPr>
          <w:vertAlign w:val="superscript"/>
          <w:lang w:val="en-AU"/>
        </w:rPr>
        <w:t>1</w:t>
      </w:r>
      <w:r w:rsidRPr="0034676B">
        <w:rPr>
          <w:lang w:val="en-AU"/>
        </w:rPr>
        <w:t>*, Jose C Florez</w:t>
      </w:r>
      <w:r w:rsidRPr="0034676B">
        <w:rPr>
          <w:vertAlign w:val="superscript"/>
          <w:lang w:val="en-AU"/>
        </w:rPr>
        <w:t>2-4</w:t>
      </w:r>
      <w:r w:rsidRPr="0034676B">
        <w:rPr>
          <w:lang w:val="en-AU"/>
        </w:rPr>
        <w:t>, Joel N Hirschhorn</w:t>
      </w:r>
      <w:r w:rsidRPr="0034676B">
        <w:rPr>
          <w:vertAlign w:val="superscript"/>
          <w:lang w:val="en-AU"/>
        </w:rPr>
        <w:t>2,5,6</w:t>
      </w:r>
      <w:r w:rsidRPr="0034676B">
        <w:rPr>
          <w:lang w:val="en-AU"/>
        </w:rPr>
        <w:t>, Murray Cadzow</w:t>
      </w:r>
      <w:r w:rsidRPr="0034676B">
        <w:rPr>
          <w:vertAlign w:val="superscript"/>
          <w:lang w:val="en-AU"/>
        </w:rPr>
        <w:t>1</w:t>
      </w:r>
      <w:r w:rsidRPr="0034676B">
        <w:rPr>
          <w:lang w:val="en-AU"/>
        </w:rPr>
        <w:t>, Nicola Dalbeth</w:t>
      </w:r>
      <w:r w:rsidRPr="0034676B">
        <w:rPr>
          <w:vertAlign w:val="superscript"/>
          <w:lang w:val="en-AU"/>
        </w:rPr>
        <w:t>7</w:t>
      </w:r>
      <w:r w:rsidRPr="0034676B">
        <w:rPr>
          <w:lang w:val="en-AU"/>
        </w:rPr>
        <w:t>, Lisa K Stamp</w:t>
      </w:r>
      <w:r w:rsidRPr="0034676B">
        <w:rPr>
          <w:vertAlign w:val="superscript"/>
          <w:lang w:val="en-AU"/>
        </w:rPr>
        <w:t>8</w:t>
      </w:r>
      <w:r w:rsidRPr="0034676B">
        <w:rPr>
          <w:lang w:val="en-AU"/>
        </w:rPr>
        <w:t>, Philip L Wilcox</w:t>
      </w:r>
      <w:r w:rsidRPr="0034676B">
        <w:rPr>
          <w:vertAlign w:val="superscript"/>
          <w:lang w:val="en-AU"/>
        </w:rPr>
        <w:t>9</w:t>
      </w:r>
      <w:r w:rsidRPr="0034676B">
        <w:rPr>
          <w:lang w:val="en-AU"/>
        </w:rPr>
        <w:t>, Richard J Reynolds</w:t>
      </w:r>
      <w:r w:rsidRPr="0034676B">
        <w:rPr>
          <w:vertAlign w:val="superscript"/>
          <w:lang w:val="en-AU"/>
        </w:rPr>
        <w:t>10</w:t>
      </w:r>
      <w:r w:rsidRPr="0034676B">
        <w:rPr>
          <w:lang w:val="en-AU"/>
        </w:rPr>
        <w:t>, Joanne B Cole</w:t>
      </w:r>
      <w:r w:rsidRPr="0034676B">
        <w:rPr>
          <w:vertAlign w:val="superscript"/>
          <w:lang w:val="en-AU"/>
        </w:rPr>
        <w:t>2,3,5#</w:t>
      </w:r>
      <w:r w:rsidRPr="0034676B">
        <w:rPr>
          <w:lang w:val="en-AU"/>
        </w:rPr>
        <w:t>, Tony R Merriman</w:t>
      </w:r>
      <w:r w:rsidRPr="0034676B">
        <w:rPr>
          <w:vertAlign w:val="superscript"/>
          <w:lang w:val="en-AU"/>
        </w:rPr>
        <w:t>1#</w:t>
      </w:r>
      <w:r w:rsidRPr="0034676B">
        <w:rPr>
          <w:lang w:val="en-AU"/>
        </w:rPr>
        <w:t>^</w:t>
      </w:r>
    </w:p>
    <w:p w14:paraId="07E13935" w14:textId="77777777" w:rsidR="007C2C90" w:rsidRPr="0034676B" w:rsidRDefault="007C2C90" w:rsidP="002B693E">
      <w:pPr>
        <w:spacing w:line="480" w:lineRule="auto"/>
        <w:rPr>
          <w:lang w:val="en-AU"/>
        </w:rPr>
      </w:pPr>
    </w:p>
    <w:p w14:paraId="665C4A4B" w14:textId="77777777" w:rsidR="007C2C90" w:rsidRPr="0034676B" w:rsidRDefault="007C2C90" w:rsidP="002B693E">
      <w:pPr>
        <w:spacing w:line="480" w:lineRule="auto"/>
      </w:pPr>
      <w:r w:rsidRPr="0034676B">
        <w:rPr>
          <w:vertAlign w:val="superscript"/>
        </w:rPr>
        <w:t xml:space="preserve">1 </w:t>
      </w:r>
      <w:r w:rsidRPr="0034676B">
        <w:t>Department of Biochemistry, University of Otago, Dunedin, New Zealand</w:t>
      </w:r>
    </w:p>
    <w:p w14:paraId="7D9B073E" w14:textId="77777777" w:rsidR="007C2C90" w:rsidRPr="0034676B" w:rsidRDefault="007C2C90" w:rsidP="002B693E">
      <w:pPr>
        <w:spacing w:line="480" w:lineRule="auto"/>
      </w:pPr>
      <w:r w:rsidRPr="0034676B">
        <w:rPr>
          <w:vertAlign w:val="superscript"/>
        </w:rPr>
        <w:t xml:space="preserve">2 </w:t>
      </w:r>
      <w:r w:rsidRPr="0034676B">
        <w:t>Programs in Metabolism and Medical &amp; Population Genetics, Broad Institute of MIT and Harvard, Cambridge, Massachusetts, USA</w:t>
      </w:r>
    </w:p>
    <w:p w14:paraId="3F71DA39" w14:textId="77777777" w:rsidR="007C2C90" w:rsidRPr="0034676B" w:rsidRDefault="007C2C90" w:rsidP="002B693E">
      <w:pPr>
        <w:spacing w:line="480" w:lineRule="auto"/>
      </w:pPr>
      <w:r w:rsidRPr="0034676B">
        <w:rPr>
          <w:vertAlign w:val="superscript"/>
        </w:rPr>
        <w:t xml:space="preserve">3 </w:t>
      </w:r>
      <w:r w:rsidRPr="0034676B">
        <w:t>Diabetes Unit and Center for Genomic Medicine, Massachusetts General Hospital, Boston, Massachusetts, USA</w:t>
      </w:r>
    </w:p>
    <w:p w14:paraId="0DCD8A90" w14:textId="77777777" w:rsidR="007C2C90" w:rsidRPr="0034676B" w:rsidRDefault="007C2C90" w:rsidP="002B693E">
      <w:pPr>
        <w:spacing w:line="480" w:lineRule="auto"/>
      </w:pPr>
      <w:r w:rsidRPr="0034676B">
        <w:rPr>
          <w:vertAlign w:val="superscript"/>
        </w:rPr>
        <w:t xml:space="preserve">4 </w:t>
      </w:r>
      <w:r w:rsidRPr="0034676B">
        <w:t>Department of Medicine, Harvard Medical School, Boston, Massachusetts, USA</w:t>
      </w:r>
    </w:p>
    <w:p w14:paraId="21495F3A" w14:textId="77777777" w:rsidR="007C2C90" w:rsidRPr="0034676B" w:rsidRDefault="007C2C90" w:rsidP="002B693E">
      <w:pPr>
        <w:spacing w:line="480" w:lineRule="auto"/>
      </w:pPr>
      <w:r w:rsidRPr="0034676B">
        <w:rPr>
          <w:vertAlign w:val="superscript"/>
        </w:rPr>
        <w:t xml:space="preserve">5 </w:t>
      </w:r>
      <w:r w:rsidRPr="0034676B">
        <w:t>Division of Endocrinology and Center for Basic and Translational Obesity Research, Boston Children’s Hospital, Boston, Massachusetts, USA</w:t>
      </w:r>
    </w:p>
    <w:p w14:paraId="16D6EE4B" w14:textId="77777777" w:rsidR="007C2C90" w:rsidRPr="0034676B" w:rsidRDefault="007C2C90" w:rsidP="002B693E">
      <w:pPr>
        <w:spacing w:line="480" w:lineRule="auto"/>
      </w:pPr>
      <w:r w:rsidRPr="0034676B">
        <w:rPr>
          <w:vertAlign w:val="superscript"/>
        </w:rPr>
        <w:t xml:space="preserve">6 </w:t>
      </w:r>
      <w:r w:rsidRPr="0034676B">
        <w:t>Department of Genetics, Harvard Medical School, Boston, Massachusetts, USA</w:t>
      </w:r>
    </w:p>
    <w:p w14:paraId="4E806BE4" w14:textId="77777777" w:rsidR="007C2C90" w:rsidRPr="0034676B" w:rsidRDefault="007C2C90" w:rsidP="002B693E">
      <w:pPr>
        <w:spacing w:line="480" w:lineRule="auto"/>
        <w:rPr>
          <w:lang w:val="en-AU"/>
        </w:rPr>
      </w:pPr>
      <w:r w:rsidRPr="0034676B">
        <w:rPr>
          <w:vertAlign w:val="superscript"/>
          <w:lang w:val="en-AU"/>
        </w:rPr>
        <w:t xml:space="preserve">7 </w:t>
      </w:r>
      <w:r w:rsidRPr="0034676B">
        <w:rPr>
          <w:lang w:val="en-AU"/>
        </w:rPr>
        <w:t>Department of Medicine, Faculty of Medical Sciences, University of Auckland, Auckland, New Zealand</w:t>
      </w:r>
    </w:p>
    <w:p w14:paraId="2FB7EFF5" w14:textId="77777777" w:rsidR="007C2C90" w:rsidRPr="0034676B" w:rsidRDefault="007C2C90" w:rsidP="002B693E">
      <w:pPr>
        <w:spacing w:line="480" w:lineRule="auto"/>
        <w:rPr>
          <w:lang w:val="en-AU"/>
        </w:rPr>
      </w:pPr>
      <w:r w:rsidRPr="0034676B">
        <w:rPr>
          <w:vertAlign w:val="superscript"/>
          <w:lang w:val="en-AU"/>
        </w:rPr>
        <w:t xml:space="preserve">8 </w:t>
      </w:r>
      <w:r w:rsidRPr="0034676B">
        <w:rPr>
          <w:lang w:val="en-AU"/>
        </w:rPr>
        <w:t>Department of Medicine, University of Otago Christchurch, Christchurch, New Zealand</w:t>
      </w:r>
    </w:p>
    <w:p w14:paraId="3E7D5395" w14:textId="77777777" w:rsidR="007C2C90" w:rsidRPr="0034676B" w:rsidRDefault="007C2C90" w:rsidP="002B693E">
      <w:pPr>
        <w:spacing w:line="480" w:lineRule="auto"/>
        <w:rPr>
          <w:lang w:val="en-AU"/>
        </w:rPr>
      </w:pPr>
      <w:r w:rsidRPr="0034676B">
        <w:rPr>
          <w:vertAlign w:val="superscript"/>
          <w:lang w:val="en-AU"/>
        </w:rPr>
        <w:t xml:space="preserve">9 </w:t>
      </w:r>
      <w:r w:rsidRPr="0034676B">
        <w:rPr>
          <w:lang w:val="en-AU"/>
        </w:rPr>
        <w:t>Department of Mathematics and Statistics, University of Otago, Dunedin, New Zealand</w:t>
      </w:r>
    </w:p>
    <w:p w14:paraId="68FC6334" w14:textId="77777777" w:rsidR="007C2C90" w:rsidRPr="0034676B" w:rsidRDefault="007C2C90" w:rsidP="002B693E">
      <w:pPr>
        <w:spacing w:line="480" w:lineRule="auto"/>
        <w:rPr>
          <w:lang w:val="en-AU"/>
        </w:rPr>
      </w:pPr>
      <w:r w:rsidRPr="0034676B">
        <w:rPr>
          <w:vertAlign w:val="superscript"/>
          <w:lang w:val="en-AU"/>
        </w:rPr>
        <w:t xml:space="preserve">10 </w:t>
      </w:r>
      <w:r w:rsidRPr="0034676B">
        <w:rPr>
          <w:lang w:val="en-AU"/>
        </w:rPr>
        <w:t>Division of Clinical Immunology and Rheumatology, University of Alabama Birmingham, Birmingham, Alabama, USA</w:t>
      </w:r>
    </w:p>
    <w:p w14:paraId="3576A732" w14:textId="77777777" w:rsidR="007C2C90" w:rsidRPr="0034676B" w:rsidRDefault="007C2C90" w:rsidP="002B693E">
      <w:pPr>
        <w:spacing w:line="480" w:lineRule="auto"/>
        <w:rPr>
          <w:lang w:val="en-AU"/>
        </w:rPr>
      </w:pPr>
      <w:r w:rsidRPr="0034676B">
        <w:rPr>
          <w:lang w:val="en-AU"/>
        </w:rPr>
        <w:t xml:space="preserve"> </w:t>
      </w:r>
    </w:p>
    <w:p w14:paraId="23F8F2D2" w14:textId="77777777" w:rsidR="007C2C90" w:rsidRPr="0034676B" w:rsidRDefault="007C2C90" w:rsidP="002B693E">
      <w:pPr>
        <w:spacing w:line="480" w:lineRule="auto"/>
        <w:rPr>
          <w:lang w:val="en-AU"/>
        </w:rPr>
      </w:pPr>
      <w:r w:rsidRPr="0034676B">
        <w:rPr>
          <w:lang w:val="en-AU"/>
        </w:rPr>
        <w:lastRenderedPageBreak/>
        <w:t>*These authors contributed equally</w:t>
      </w:r>
    </w:p>
    <w:p w14:paraId="20882AF9" w14:textId="77777777" w:rsidR="007C2C90" w:rsidRPr="0034676B" w:rsidRDefault="007C2C90" w:rsidP="002B693E">
      <w:pPr>
        <w:spacing w:line="480" w:lineRule="auto"/>
        <w:rPr>
          <w:lang w:val="en-AU"/>
        </w:rPr>
      </w:pPr>
      <w:r w:rsidRPr="0034676B">
        <w:rPr>
          <w:vertAlign w:val="superscript"/>
          <w:lang w:val="en-AU"/>
        </w:rPr>
        <w:t>#</w:t>
      </w:r>
      <w:r w:rsidRPr="0034676B">
        <w:rPr>
          <w:lang w:val="en-AU"/>
        </w:rPr>
        <w:t>These authors contributed equally</w:t>
      </w:r>
    </w:p>
    <w:p w14:paraId="22E54D47" w14:textId="77777777" w:rsidR="007C2C90" w:rsidRDefault="007C2C90" w:rsidP="002B693E">
      <w:pPr>
        <w:spacing w:line="480" w:lineRule="auto"/>
        <w:rPr>
          <w:lang w:val="en-AU"/>
        </w:rPr>
      </w:pPr>
      <w:r w:rsidRPr="0034676B">
        <w:rPr>
          <w:lang w:val="en-AU"/>
        </w:rPr>
        <w:t>^Corresponding author</w:t>
      </w:r>
    </w:p>
    <w:p w14:paraId="51D266D2" w14:textId="77777777" w:rsidR="007C2C90" w:rsidRDefault="007C2C90" w:rsidP="002B693E">
      <w:pPr>
        <w:spacing w:line="480" w:lineRule="auto"/>
        <w:rPr>
          <w:lang w:val="en-AU"/>
        </w:rPr>
      </w:pPr>
      <w:r>
        <w:rPr>
          <w:lang w:val="en-AU"/>
        </w:rPr>
        <w:br w:type="page"/>
      </w:r>
    </w:p>
    <w:p w14:paraId="0FBF71D0" w14:textId="77777777" w:rsidR="007C2C90" w:rsidRDefault="007C2C90" w:rsidP="002B693E">
      <w:pPr>
        <w:spacing w:line="480" w:lineRule="auto"/>
        <w:rPr>
          <w:b/>
        </w:rPr>
      </w:pPr>
      <w:r>
        <w:rPr>
          <w:b/>
        </w:rPr>
        <w:lastRenderedPageBreak/>
        <w:t>Participants and methods</w:t>
      </w:r>
    </w:p>
    <w:p w14:paraId="3E7E0524" w14:textId="77777777" w:rsidR="007C2C90" w:rsidRPr="007645C4" w:rsidRDefault="00CC280D" w:rsidP="002B693E">
      <w:pPr>
        <w:spacing w:line="480" w:lineRule="auto"/>
        <w:rPr>
          <w:i/>
        </w:rPr>
      </w:pPr>
      <w:r>
        <w:rPr>
          <w:i/>
        </w:rPr>
        <w:t>D</w:t>
      </w:r>
      <w:r w:rsidR="007C2C90">
        <w:rPr>
          <w:i/>
        </w:rPr>
        <w:t>ata collection</w:t>
      </w:r>
    </w:p>
    <w:p w14:paraId="039801FC" w14:textId="77777777" w:rsidR="007C2C90" w:rsidRDefault="007C2C90" w:rsidP="002B693E">
      <w:pPr>
        <w:spacing w:line="480" w:lineRule="auto"/>
        <w:rPr>
          <w:lang w:val="en-AU"/>
        </w:rPr>
      </w:pPr>
      <w:r>
        <w:rPr>
          <w:lang w:val="en-AU"/>
        </w:rPr>
        <w:t>For each of the studies that made up Cohort 1 information from the baseline visit was used.</w:t>
      </w:r>
      <w:r w:rsidRPr="004223C5">
        <w:rPr>
          <w:lang w:val="en-AU"/>
        </w:rPr>
        <w:t xml:space="preserve"> </w:t>
      </w:r>
      <w:r>
        <w:rPr>
          <w:lang w:val="en-AU"/>
        </w:rPr>
        <w:t xml:space="preserve">Serum urate levels were measured as described in ref </w:t>
      </w:r>
      <w:r>
        <w:rPr>
          <w:noProof/>
          <w:lang w:val="en-AU"/>
        </w:rPr>
        <w:t>(</w:t>
      </w:r>
      <w:r w:rsidR="00646944">
        <w:rPr>
          <w:noProof/>
          <w:lang w:val="en-AU"/>
        </w:rPr>
        <w:t>1</w:t>
      </w:r>
      <w:r>
        <w:rPr>
          <w:noProof/>
          <w:lang w:val="en-AU"/>
        </w:rPr>
        <w:t>)</w:t>
      </w:r>
      <w:r>
        <w:rPr>
          <w:lang w:val="en-AU"/>
        </w:rPr>
        <w:t xml:space="preserve">. Information on diuretic intake was obtained using </w:t>
      </w:r>
      <w:r w:rsidRPr="008F151B">
        <w:rPr>
          <w:lang w:val="en-AU"/>
        </w:rPr>
        <w:t>self-reported</w:t>
      </w:r>
      <w:r>
        <w:rPr>
          <w:lang w:val="en-AU"/>
        </w:rPr>
        <w:t xml:space="preserve"> medication use. All dietary data (including alcohol consumption) for Cohort 1 was collected using food frequency questionnaires. Participants in the ARIC, FHS, and CHS studies completed similar questionnaires in which they were asked to answer the question “How often, on average, in the past year did you eat [this food]?” by choosing from various frequency categories (66 questions and nine frequency categories for ARIC, 99 questions and six frequency categories for CHS, and 126 questions and nine frequency categories for FHS). Participants in CARDIA answered a validated bespoke diet history of 100 food items using a series of questions, “Do you eat [this food]?” if yes “How much do you usually have?” and “How often do you usually have it?”. Dietary data from the four cohorts were converted to equivalent food items, and the genetic data were obtained, as previously described </w:t>
      </w:r>
      <w:r>
        <w:rPr>
          <w:noProof/>
          <w:lang w:val="en-AU"/>
        </w:rPr>
        <w:t>(</w:t>
      </w:r>
      <w:r w:rsidR="00646944">
        <w:rPr>
          <w:noProof/>
          <w:lang w:val="en-AU"/>
        </w:rPr>
        <w:t>1</w:t>
      </w:r>
      <w:r>
        <w:rPr>
          <w:noProof/>
          <w:lang w:val="en-AU"/>
        </w:rPr>
        <w:t>)</w:t>
      </w:r>
      <w:r>
        <w:rPr>
          <w:lang w:val="en-AU"/>
        </w:rPr>
        <w:t>.</w:t>
      </w:r>
    </w:p>
    <w:p w14:paraId="7990D418" w14:textId="77777777" w:rsidR="007C2C90" w:rsidRDefault="007C2C90" w:rsidP="002B693E">
      <w:pPr>
        <w:spacing w:line="480" w:lineRule="auto"/>
        <w:rPr>
          <w:lang w:val="en-AU"/>
        </w:rPr>
      </w:pPr>
    </w:p>
    <w:p w14:paraId="44259BB9" w14:textId="77777777" w:rsidR="007C2C90" w:rsidRDefault="007C2C90" w:rsidP="002B693E">
      <w:pPr>
        <w:spacing w:line="480" w:lineRule="auto"/>
        <w:rPr>
          <w:color w:val="000000"/>
          <w:shd w:val="clear" w:color="auto" w:fill="FFFFFF"/>
        </w:rPr>
      </w:pPr>
      <w:r>
        <w:rPr>
          <w:rFonts w:cstheme="minorHAnsi"/>
          <w:lang w:val="en-AU"/>
        </w:rPr>
        <w:t xml:space="preserve">For Cohorts 2, 3, and the Gout Cohort, information from the UK Biobank visit 0 was used. Serum urate levels were measured </w:t>
      </w:r>
      <w:r w:rsidRPr="00E57AB9">
        <w:rPr>
          <w:rFonts w:cstheme="minorHAnsi"/>
          <w:lang w:val="en-AU"/>
        </w:rPr>
        <w:t>by uricase PAP analysis on a Beckman Coulter AU5800</w:t>
      </w:r>
      <w:r>
        <w:rPr>
          <w:rFonts w:cstheme="minorHAnsi"/>
          <w:lang w:val="en-AU"/>
        </w:rPr>
        <w:t xml:space="preserve"> (</w:t>
      </w:r>
      <w:r w:rsidRPr="00FB3319">
        <w:rPr>
          <w:rFonts w:cstheme="minorHAnsi"/>
          <w:lang w:val="en-AU"/>
        </w:rPr>
        <w:t>https://www.ukbiobank.ac.uk/</w:t>
      </w:r>
      <w:r>
        <w:rPr>
          <w:rFonts w:cstheme="minorHAnsi"/>
          <w:lang w:val="en-AU"/>
        </w:rPr>
        <w:t xml:space="preserve">). Information on use of diuretics or urate-lowering therapy was </w:t>
      </w:r>
      <w:r w:rsidRPr="00E57AB9">
        <w:rPr>
          <w:rFonts w:cstheme="minorHAnsi"/>
          <w:lang w:val="en-AU"/>
        </w:rPr>
        <w:t>obtained through a verbal interview on prescription medications</w:t>
      </w:r>
      <w:r>
        <w:rPr>
          <w:rFonts w:cstheme="minorHAnsi"/>
          <w:lang w:val="en-AU"/>
        </w:rPr>
        <w:t xml:space="preserve"> conducted </w:t>
      </w:r>
      <w:r w:rsidRPr="00E57AB9">
        <w:rPr>
          <w:rFonts w:cstheme="minorHAnsi"/>
          <w:lang w:val="en-AU"/>
        </w:rPr>
        <w:t>by a trained nurse</w:t>
      </w:r>
      <w:r>
        <w:rPr>
          <w:rFonts w:cstheme="minorHAnsi"/>
          <w:lang w:val="en-AU"/>
        </w:rPr>
        <w:t>. For Cohort 2</w:t>
      </w:r>
      <w:r w:rsidRPr="00E57AB9">
        <w:rPr>
          <w:rFonts w:cstheme="minorHAnsi"/>
          <w:lang w:val="en-AU"/>
        </w:rPr>
        <w:t xml:space="preserve"> </w:t>
      </w:r>
      <w:r>
        <w:rPr>
          <w:lang w:val="en-AU"/>
        </w:rPr>
        <w:t>d</w:t>
      </w:r>
      <w:r w:rsidRPr="00521849">
        <w:rPr>
          <w:lang w:val="en-AU"/>
        </w:rPr>
        <w:t>iet information</w:t>
      </w:r>
      <w:r>
        <w:rPr>
          <w:lang w:val="en-AU"/>
        </w:rPr>
        <w:t xml:space="preserve"> was collected using an online tool </w:t>
      </w:r>
      <w:r w:rsidRPr="00521849">
        <w:rPr>
          <w:lang w:val="en-AU"/>
        </w:rPr>
        <w:t>rel</w:t>
      </w:r>
      <w:r w:rsidRPr="00705B01">
        <w:rPr>
          <w:lang w:val="en-AU"/>
        </w:rPr>
        <w:t xml:space="preserve">ating to food intake </w:t>
      </w:r>
      <w:r>
        <w:rPr>
          <w:lang w:val="en-AU"/>
        </w:rPr>
        <w:t>“yesterday” (</w:t>
      </w:r>
      <w:r w:rsidRPr="00705B01">
        <w:rPr>
          <w:lang w:val="en-AU"/>
        </w:rPr>
        <w:t>the previous 24 hours</w:t>
      </w:r>
      <w:r>
        <w:rPr>
          <w:lang w:val="en-AU"/>
        </w:rPr>
        <w:t>)</w:t>
      </w:r>
      <w:r w:rsidRPr="00705B01">
        <w:rPr>
          <w:lang w:val="en-AU"/>
        </w:rPr>
        <w:t>.</w:t>
      </w:r>
      <w:r>
        <w:rPr>
          <w:lang w:val="en-AU"/>
        </w:rPr>
        <w:t xml:space="preserve"> Participants were asked “Did you eat [food category] yesterday?” and if they answered yes, they were asked to provide an estimate of the number of servings eaten yesterday for each food listed within the food category. The questionnaire comprised 10 food categories, with a total of 261 food items across these categories </w:t>
      </w:r>
      <w:r>
        <w:rPr>
          <w:noProof/>
          <w:lang w:val="en-AU"/>
        </w:rPr>
        <w:t>(</w:t>
      </w:r>
      <w:r w:rsidR="00646944">
        <w:rPr>
          <w:noProof/>
          <w:lang w:val="en-AU"/>
        </w:rPr>
        <w:t>2</w:t>
      </w:r>
      <w:r>
        <w:rPr>
          <w:noProof/>
          <w:lang w:val="en-AU"/>
        </w:rPr>
        <w:t>)</w:t>
      </w:r>
      <w:r>
        <w:rPr>
          <w:lang w:val="en-AU"/>
        </w:rPr>
        <w:t xml:space="preserve">. </w:t>
      </w:r>
      <w:r w:rsidRPr="008F151B">
        <w:rPr>
          <w:lang w:val="en-AU"/>
        </w:rPr>
        <w:lastRenderedPageBreak/>
        <w:t xml:space="preserve">Dietary </w:t>
      </w:r>
      <w:r>
        <w:rPr>
          <w:lang w:val="en-AU"/>
        </w:rPr>
        <w:t>information</w:t>
      </w:r>
      <w:r w:rsidRPr="008F151B">
        <w:rPr>
          <w:lang w:val="en-AU"/>
        </w:rPr>
        <w:t xml:space="preserve"> for Cohort 3</w:t>
      </w:r>
      <w:r w:rsidRPr="00410B1A">
        <w:rPr>
          <w:lang w:val="en-AU"/>
        </w:rPr>
        <w:t xml:space="preserve"> and </w:t>
      </w:r>
      <w:r>
        <w:rPr>
          <w:lang w:val="en-AU"/>
        </w:rPr>
        <w:t xml:space="preserve">the </w:t>
      </w:r>
      <w:r w:rsidRPr="00410B1A">
        <w:rPr>
          <w:lang w:val="en-AU"/>
        </w:rPr>
        <w:t>Gout Cohort</w:t>
      </w:r>
      <w:r w:rsidRPr="008F151B">
        <w:rPr>
          <w:lang w:val="en-AU"/>
        </w:rPr>
        <w:t xml:space="preserve"> </w:t>
      </w:r>
      <w:r>
        <w:rPr>
          <w:lang w:val="en-AU"/>
        </w:rPr>
        <w:t>was</w:t>
      </w:r>
      <w:r w:rsidRPr="008F151B">
        <w:rPr>
          <w:lang w:val="en-AU"/>
        </w:rPr>
        <w:t xml:space="preserve"> derived from a reduced food frequency questionnaire focused on intake of a range of common food and drink items. Participants were asked either “how many [servings] of [this food] do you eat per day?” (numeric answers) or “How often do you eat [this food]?” (5 answer categories).</w:t>
      </w:r>
      <w:r>
        <w:rPr>
          <w:lang w:val="en-AU"/>
        </w:rPr>
        <w:t xml:space="preserve"> A total of 17 food and drink items were included in this questionnaire. For all of the UK Biobank-derived cohorts, a</w:t>
      </w:r>
      <w:r w:rsidRPr="00705B01">
        <w:rPr>
          <w:lang w:val="en-AU"/>
        </w:rPr>
        <w:t>lcohol intake was determined from the question “</w:t>
      </w:r>
      <w:r w:rsidRPr="00705B01">
        <w:rPr>
          <w:color w:val="000000"/>
          <w:shd w:val="clear" w:color="auto" w:fill="FFFFFF"/>
        </w:rPr>
        <w:t xml:space="preserve">About how often do you drink alcohol?” with response </w:t>
      </w:r>
      <w:r w:rsidRPr="00521849">
        <w:rPr>
          <w:color w:val="000000"/>
          <w:shd w:val="clear" w:color="auto" w:fill="FFFFFF"/>
        </w:rPr>
        <w:t>categories</w:t>
      </w:r>
      <w:r w:rsidRPr="00705B01">
        <w:rPr>
          <w:color w:val="000000"/>
          <w:shd w:val="clear" w:color="auto" w:fill="FFFFFF"/>
        </w:rPr>
        <w:t xml:space="preserve"> “daily or almost daily</w:t>
      </w:r>
      <w:r>
        <w:rPr>
          <w:color w:val="000000"/>
          <w:shd w:val="clear" w:color="auto" w:fill="FFFFFF"/>
        </w:rPr>
        <w:t>,</w:t>
      </w:r>
      <w:r w:rsidRPr="00705B01">
        <w:rPr>
          <w:color w:val="000000"/>
          <w:shd w:val="clear" w:color="auto" w:fill="FFFFFF"/>
        </w:rPr>
        <w:t>” “three or four times a week</w:t>
      </w:r>
      <w:r>
        <w:rPr>
          <w:color w:val="000000"/>
          <w:shd w:val="clear" w:color="auto" w:fill="FFFFFF"/>
        </w:rPr>
        <w:t>,</w:t>
      </w:r>
      <w:r w:rsidRPr="00705B01">
        <w:rPr>
          <w:color w:val="000000"/>
          <w:shd w:val="clear" w:color="auto" w:fill="FFFFFF"/>
        </w:rPr>
        <w:t>” “once or twice a week</w:t>
      </w:r>
      <w:r>
        <w:rPr>
          <w:color w:val="000000"/>
          <w:shd w:val="clear" w:color="auto" w:fill="FFFFFF"/>
        </w:rPr>
        <w:t>,</w:t>
      </w:r>
      <w:r w:rsidRPr="00705B01">
        <w:rPr>
          <w:color w:val="000000"/>
          <w:shd w:val="clear" w:color="auto" w:fill="FFFFFF"/>
        </w:rPr>
        <w:t>” “one to three times a month</w:t>
      </w:r>
      <w:r>
        <w:rPr>
          <w:color w:val="000000"/>
          <w:shd w:val="clear" w:color="auto" w:fill="FFFFFF"/>
        </w:rPr>
        <w:t>,</w:t>
      </w:r>
      <w:r w:rsidRPr="00705B01">
        <w:rPr>
          <w:color w:val="000000"/>
          <w:shd w:val="clear" w:color="auto" w:fill="FFFFFF"/>
        </w:rPr>
        <w:t>” “special occasions only</w:t>
      </w:r>
      <w:r>
        <w:rPr>
          <w:color w:val="000000"/>
          <w:shd w:val="clear" w:color="auto" w:fill="FFFFFF"/>
        </w:rPr>
        <w:t>,</w:t>
      </w:r>
      <w:r w:rsidRPr="00705B01">
        <w:rPr>
          <w:color w:val="000000"/>
          <w:shd w:val="clear" w:color="auto" w:fill="FFFFFF"/>
        </w:rPr>
        <w:t>” and “never</w:t>
      </w:r>
      <w:r>
        <w:rPr>
          <w:color w:val="000000"/>
          <w:shd w:val="clear" w:color="auto" w:fill="FFFFFF"/>
        </w:rPr>
        <w:t>.</w:t>
      </w:r>
      <w:r w:rsidRPr="00705B01">
        <w:rPr>
          <w:color w:val="000000"/>
          <w:shd w:val="clear" w:color="auto" w:fill="FFFFFF"/>
        </w:rPr>
        <w:t>”</w:t>
      </w:r>
      <w:r>
        <w:rPr>
          <w:color w:val="000000"/>
          <w:shd w:val="clear" w:color="auto" w:fill="FFFFFF"/>
        </w:rPr>
        <w:t xml:space="preserve"> Cohorts 2, 3, and Gout were geno</w:t>
      </w:r>
      <w:r w:rsidRPr="00556BF9">
        <w:rPr>
          <w:color w:val="000000"/>
          <w:shd w:val="clear" w:color="auto" w:fill="FFFFFF"/>
        </w:rPr>
        <w:t>type</w:t>
      </w:r>
      <w:r>
        <w:rPr>
          <w:color w:val="000000"/>
          <w:shd w:val="clear" w:color="auto" w:fill="FFFFFF"/>
        </w:rPr>
        <w:t>d</w:t>
      </w:r>
      <w:r w:rsidRPr="00556BF9">
        <w:rPr>
          <w:color w:val="000000"/>
          <w:shd w:val="clear" w:color="auto" w:fill="FFFFFF"/>
        </w:rPr>
        <w:t xml:space="preserve"> by Affymetrix using the UK BiLEVE Axiom array or the UK Biobank Axiom array</w:t>
      </w:r>
      <w:r>
        <w:rPr>
          <w:color w:val="000000"/>
          <w:shd w:val="clear" w:color="auto" w:fill="FFFFFF"/>
        </w:rPr>
        <w:t xml:space="preserve"> and imputed by the UK Biobank </w:t>
      </w:r>
      <w:r w:rsidRPr="00556BF9">
        <w:rPr>
          <w:color w:val="000000"/>
          <w:shd w:val="clear" w:color="auto" w:fill="FFFFFF"/>
        </w:rPr>
        <w:t>using the Haplotype Reference Consortium</w:t>
      </w:r>
      <w:r>
        <w:rPr>
          <w:color w:val="000000"/>
          <w:shd w:val="clear" w:color="auto" w:fill="FFFFFF"/>
        </w:rPr>
        <w:t xml:space="preserve"> as the primary</w:t>
      </w:r>
      <w:r w:rsidRPr="003B1833">
        <w:rPr>
          <w:color w:val="000000"/>
          <w:shd w:val="clear" w:color="auto" w:fill="FFFFFF"/>
        </w:rPr>
        <w:t xml:space="preserve"> imputation reference panel</w:t>
      </w:r>
      <w:r>
        <w:rPr>
          <w:color w:val="000000"/>
          <w:shd w:val="clear" w:color="auto" w:fill="FFFFFF"/>
        </w:rPr>
        <w:t xml:space="preserve"> </w:t>
      </w:r>
      <w:r>
        <w:rPr>
          <w:noProof/>
          <w:color w:val="000000"/>
          <w:shd w:val="clear" w:color="auto" w:fill="FFFFFF"/>
        </w:rPr>
        <w:t>(</w:t>
      </w:r>
      <w:r w:rsidR="005553F5">
        <w:rPr>
          <w:noProof/>
          <w:color w:val="000000"/>
          <w:shd w:val="clear" w:color="auto" w:fill="FFFFFF"/>
        </w:rPr>
        <w:t>3</w:t>
      </w:r>
      <w:r>
        <w:rPr>
          <w:noProof/>
          <w:color w:val="000000"/>
          <w:shd w:val="clear" w:color="auto" w:fill="FFFFFF"/>
        </w:rPr>
        <w:t>)</w:t>
      </w:r>
      <w:r w:rsidRPr="00556BF9">
        <w:rPr>
          <w:color w:val="000000"/>
          <w:shd w:val="clear" w:color="auto" w:fill="FFFFFF"/>
        </w:rPr>
        <w:t>.</w:t>
      </w:r>
    </w:p>
    <w:p w14:paraId="71D3DD8C" w14:textId="77777777" w:rsidR="007C2C90" w:rsidRDefault="007C2C90" w:rsidP="002B693E">
      <w:pPr>
        <w:spacing w:line="480" w:lineRule="auto"/>
        <w:rPr>
          <w:rFonts w:cstheme="minorHAnsi"/>
          <w:lang w:val="en-AU"/>
        </w:rPr>
      </w:pPr>
    </w:p>
    <w:p w14:paraId="67E73FCA" w14:textId="77777777" w:rsidR="007C2C90" w:rsidRDefault="007C2C90" w:rsidP="002B693E">
      <w:pPr>
        <w:spacing w:line="480" w:lineRule="auto"/>
        <w:rPr>
          <w:rFonts w:cstheme="minorHAnsi"/>
          <w:i/>
          <w:lang w:val="en-AU"/>
        </w:rPr>
      </w:pPr>
      <w:r>
        <w:rPr>
          <w:rFonts w:cstheme="minorHAnsi"/>
          <w:i/>
          <w:lang w:val="en-AU"/>
        </w:rPr>
        <w:t>Dietary data dichotomisation</w:t>
      </w:r>
    </w:p>
    <w:p w14:paraId="2D871302" w14:textId="77777777" w:rsidR="007C2C90" w:rsidRDefault="007C2C90" w:rsidP="002B693E">
      <w:pPr>
        <w:spacing w:line="480" w:lineRule="auto"/>
        <w:rPr>
          <w:lang w:val="en-AU"/>
        </w:rPr>
      </w:pPr>
      <w:r>
        <w:rPr>
          <w:lang w:val="en-AU"/>
        </w:rPr>
        <w:t>Adherence to the DASH diet defined as either following</w:t>
      </w:r>
      <w:r w:rsidRPr="2958C853">
        <w:rPr>
          <w:lang w:val="en-AU"/>
        </w:rPr>
        <w:t xml:space="preserve"> six or more of the DASH </w:t>
      </w:r>
      <w:r>
        <w:rPr>
          <w:lang w:val="en-AU"/>
        </w:rPr>
        <w:t xml:space="preserve">dietary </w:t>
      </w:r>
      <w:r w:rsidRPr="2958C853">
        <w:rPr>
          <w:lang w:val="en-AU"/>
        </w:rPr>
        <w:t>guidelines</w:t>
      </w:r>
      <w:r>
        <w:rPr>
          <w:lang w:val="en-AU"/>
        </w:rPr>
        <w:t xml:space="preserve"> </w:t>
      </w:r>
      <w:r w:rsidRPr="2958C853">
        <w:rPr>
          <w:lang w:val="en-AU"/>
        </w:rPr>
        <w:t xml:space="preserve">(using the guides as lower limits for healthy foods </w:t>
      </w:r>
      <w:r>
        <w:rPr>
          <w:lang w:val="en-AU"/>
        </w:rPr>
        <w:t>e.g.</w:t>
      </w:r>
      <w:r w:rsidRPr="2958C853">
        <w:rPr>
          <w:lang w:val="en-AU"/>
        </w:rPr>
        <w:t xml:space="preserve"> fruit and vegetable intake, and upper limits for unhealthy foods </w:t>
      </w:r>
      <w:r>
        <w:rPr>
          <w:lang w:val="en-AU"/>
        </w:rPr>
        <w:t>e.g.</w:t>
      </w:r>
      <w:r w:rsidRPr="2958C853">
        <w:rPr>
          <w:lang w:val="en-AU"/>
        </w:rPr>
        <w:t xml:space="preserve"> red meat)</w:t>
      </w:r>
      <w:r>
        <w:rPr>
          <w:lang w:val="en-AU"/>
        </w:rPr>
        <w:t xml:space="preserve"> or not following the DASH diet guidelines. </w:t>
      </w:r>
      <w:r w:rsidRPr="008F151B">
        <w:rPr>
          <w:lang w:val="en-AU"/>
        </w:rPr>
        <w:t>For Cohort 3</w:t>
      </w:r>
      <w:r w:rsidRPr="00410B1A">
        <w:rPr>
          <w:lang w:val="en-AU"/>
        </w:rPr>
        <w:t xml:space="preserve"> and</w:t>
      </w:r>
      <w:r>
        <w:rPr>
          <w:lang w:val="en-AU"/>
        </w:rPr>
        <w:t xml:space="preserve"> the</w:t>
      </w:r>
      <w:r w:rsidRPr="00410B1A">
        <w:rPr>
          <w:lang w:val="en-AU"/>
        </w:rPr>
        <w:t xml:space="preserve"> Gout Cohort</w:t>
      </w:r>
      <w:r w:rsidRPr="008F151B">
        <w:rPr>
          <w:lang w:val="en-AU"/>
        </w:rPr>
        <w:t>, due to the reduced number of dietary variables available</w:t>
      </w:r>
      <w:r>
        <w:rPr>
          <w:lang w:val="en-AU"/>
        </w:rPr>
        <w:t xml:space="preserve"> in the UK Biobank food frequency data</w:t>
      </w:r>
      <w:r w:rsidRPr="008F151B">
        <w:rPr>
          <w:lang w:val="en-AU"/>
        </w:rPr>
        <w:t xml:space="preserve"> adherence to the Harvard Healthy Eating </w:t>
      </w:r>
      <w:r w:rsidRPr="00CA271C">
        <w:rPr>
          <w:lang w:val="en-AU"/>
        </w:rPr>
        <w:t xml:space="preserve">Pyramid guidelines </w:t>
      </w:r>
      <w:r>
        <w:rPr>
          <w:noProof/>
          <w:lang w:val="en-AU"/>
        </w:rPr>
        <w:t>(</w:t>
      </w:r>
      <w:r w:rsidR="005553F5">
        <w:rPr>
          <w:noProof/>
          <w:lang w:val="en-AU"/>
        </w:rPr>
        <w:t>4</w:t>
      </w:r>
      <w:r>
        <w:rPr>
          <w:noProof/>
          <w:lang w:val="en-AU"/>
        </w:rPr>
        <w:t>)</w:t>
      </w:r>
      <w:r w:rsidRPr="00CA271C">
        <w:rPr>
          <w:lang w:val="en-AU"/>
        </w:rPr>
        <w:t xml:space="preserve"> was used instead of the DASH diet. </w:t>
      </w:r>
      <w:r w:rsidRPr="00CA271C">
        <w:rPr>
          <w:rFonts w:cstheme="minorHAnsi"/>
          <w:lang w:val="en-AU"/>
        </w:rPr>
        <w:t xml:space="preserve">The UK Biobank food frequency data did not include intake questions for oils, nuts, legumes, eggs, </w:t>
      </w:r>
      <w:r>
        <w:rPr>
          <w:rFonts w:cstheme="minorHAnsi"/>
          <w:lang w:val="en-AU"/>
        </w:rPr>
        <w:t xml:space="preserve">or </w:t>
      </w:r>
      <w:r w:rsidRPr="00CA271C">
        <w:rPr>
          <w:rFonts w:cstheme="minorHAnsi"/>
          <w:lang w:val="en-AU"/>
        </w:rPr>
        <w:t xml:space="preserve">dairy products </w:t>
      </w:r>
      <w:r>
        <w:rPr>
          <w:rFonts w:cstheme="minorHAnsi"/>
          <w:lang w:val="en-AU"/>
        </w:rPr>
        <w:t>(</w:t>
      </w:r>
      <w:r w:rsidRPr="00CA271C">
        <w:rPr>
          <w:rFonts w:cstheme="minorHAnsi"/>
          <w:lang w:val="en-AU"/>
        </w:rPr>
        <w:t>other than cheese</w:t>
      </w:r>
      <w:r>
        <w:rPr>
          <w:rFonts w:cstheme="minorHAnsi"/>
          <w:lang w:val="en-AU"/>
        </w:rPr>
        <w:t>), thus r</w:t>
      </w:r>
      <w:r w:rsidRPr="00CA271C">
        <w:rPr>
          <w:rFonts w:cstheme="minorHAnsi"/>
          <w:lang w:val="en-AU"/>
        </w:rPr>
        <w:t xml:space="preserve">ecommendations for these items were unable to be assessed. </w:t>
      </w:r>
      <w:r>
        <w:rPr>
          <w:rFonts w:cstheme="minorHAnsi"/>
          <w:lang w:val="en-AU"/>
        </w:rPr>
        <w:t>The Healthy Eating Pyramid guideline recommending m</w:t>
      </w:r>
      <w:r w:rsidRPr="00CA271C">
        <w:rPr>
          <w:rFonts w:cstheme="minorHAnsi"/>
          <w:lang w:val="en-AU"/>
        </w:rPr>
        <w:t xml:space="preserve">oderate alcohol consumption was </w:t>
      </w:r>
      <w:r>
        <w:rPr>
          <w:rFonts w:cstheme="minorHAnsi"/>
          <w:lang w:val="en-AU"/>
        </w:rPr>
        <w:t xml:space="preserve">also </w:t>
      </w:r>
      <w:r w:rsidRPr="00CA271C">
        <w:rPr>
          <w:rFonts w:cstheme="minorHAnsi"/>
          <w:lang w:val="en-AU"/>
        </w:rPr>
        <w:t xml:space="preserve">not included in this definition as </w:t>
      </w:r>
      <w:r>
        <w:rPr>
          <w:rFonts w:cstheme="minorHAnsi"/>
          <w:lang w:val="en-AU"/>
        </w:rPr>
        <w:t xml:space="preserve">alcohol was </w:t>
      </w:r>
      <w:r w:rsidRPr="00CA271C">
        <w:rPr>
          <w:rFonts w:cstheme="minorHAnsi"/>
          <w:lang w:val="en-AU"/>
        </w:rPr>
        <w:t xml:space="preserve">included </w:t>
      </w:r>
      <w:r>
        <w:rPr>
          <w:rFonts w:cstheme="minorHAnsi"/>
          <w:lang w:val="en-AU"/>
        </w:rPr>
        <w:t xml:space="preserve">in the analyses </w:t>
      </w:r>
      <w:r w:rsidRPr="00CA271C">
        <w:rPr>
          <w:rFonts w:cstheme="minorHAnsi"/>
          <w:lang w:val="en-AU"/>
        </w:rPr>
        <w:t>separately</w:t>
      </w:r>
      <w:r>
        <w:rPr>
          <w:lang w:val="en-AU"/>
        </w:rPr>
        <w:t xml:space="preserve">. </w:t>
      </w:r>
      <w:r w:rsidRPr="008F151B">
        <w:rPr>
          <w:lang w:val="en-AU"/>
        </w:rPr>
        <w:t xml:space="preserve">Participants were dichotomised based on </w:t>
      </w:r>
      <w:r w:rsidRPr="00410B1A">
        <w:rPr>
          <w:lang w:val="en-AU"/>
        </w:rPr>
        <w:t xml:space="preserve">following six or more of </w:t>
      </w:r>
      <w:r>
        <w:rPr>
          <w:lang w:val="en-AU"/>
        </w:rPr>
        <w:t>the eight remaining</w:t>
      </w:r>
      <w:r w:rsidRPr="00410B1A">
        <w:rPr>
          <w:lang w:val="en-AU"/>
        </w:rPr>
        <w:t xml:space="preserve"> dietary recommendations</w:t>
      </w:r>
      <w:r>
        <w:rPr>
          <w:lang w:val="en-AU"/>
        </w:rPr>
        <w:t xml:space="preserve"> – t</w:t>
      </w:r>
      <w:r w:rsidRPr="00CA271C">
        <w:rPr>
          <w:rFonts w:cstheme="minorHAnsi"/>
          <w:lang w:val="en-AU"/>
        </w:rPr>
        <w:t>aking multivitamins</w:t>
      </w:r>
      <w:r>
        <w:rPr>
          <w:rFonts w:cstheme="minorHAnsi"/>
          <w:lang w:val="en-AU"/>
        </w:rPr>
        <w:t>, eating w</w:t>
      </w:r>
      <w:r w:rsidRPr="00CA271C">
        <w:rPr>
          <w:rFonts w:cstheme="minorHAnsi"/>
          <w:lang w:val="en-AU"/>
        </w:rPr>
        <w:t xml:space="preserve">holegrains </w:t>
      </w:r>
      <w:r>
        <w:rPr>
          <w:rFonts w:cstheme="minorHAnsi"/>
          <w:lang w:val="en-AU"/>
        </w:rPr>
        <w:t>three</w:t>
      </w:r>
      <w:r w:rsidRPr="00CA271C">
        <w:rPr>
          <w:rFonts w:cstheme="minorHAnsi"/>
          <w:lang w:val="en-AU"/>
        </w:rPr>
        <w:t xml:space="preserve"> or more times per day</w:t>
      </w:r>
      <w:r>
        <w:rPr>
          <w:rFonts w:cstheme="minorHAnsi"/>
          <w:lang w:val="en-AU"/>
        </w:rPr>
        <w:t xml:space="preserve">, </w:t>
      </w:r>
      <w:r>
        <w:rPr>
          <w:rFonts w:cstheme="minorHAnsi"/>
          <w:lang w:val="en-AU"/>
        </w:rPr>
        <w:lastRenderedPageBreak/>
        <w:t>eating v</w:t>
      </w:r>
      <w:r w:rsidRPr="00CA271C">
        <w:rPr>
          <w:rFonts w:cstheme="minorHAnsi"/>
          <w:lang w:val="en-AU"/>
        </w:rPr>
        <w:t xml:space="preserve">egetables </w:t>
      </w:r>
      <w:r>
        <w:rPr>
          <w:rFonts w:cstheme="minorHAnsi"/>
          <w:lang w:val="en-AU"/>
        </w:rPr>
        <w:t>four</w:t>
      </w:r>
      <w:r w:rsidRPr="00CA271C">
        <w:rPr>
          <w:rFonts w:cstheme="minorHAnsi"/>
          <w:lang w:val="en-AU"/>
        </w:rPr>
        <w:t xml:space="preserve"> or more times per day</w:t>
      </w:r>
      <w:r>
        <w:rPr>
          <w:rFonts w:cstheme="minorHAnsi"/>
          <w:lang w:val="en-AU"/>
        </w:rPr>
        <w:t>, eating fruit two</w:t>
      </w:r>
      <w:r w:rsidRPr="00CA271C">
        <w:rPr>
          <w:rFonts w:cstheme="minorHAnsi"/>
          <w:lang w:val="en-AU"/>
        </w:rPr>
        <w:t xml:space="preserve"> or more times per day</w:t>
      </w:r>
      <w:r>
        <w:rPr>
          <w:rFonts w:cstheme="minorHAnsi"/>
          <w:lang w:val="en-AU"/>
        </w:rPr>
        <w:t>, eating f</w:t>
      </w:r>
      <w:r w:rsidRPr="00CA271C">
        <w:rPr>
          <w:rFonts w:cstheme="minorHAnsi"/>
          <w:lang w:val="en-AU"/>
        </w:rPr>
        <w:t xml:space="preserve">ish or poultry </w:t>
      </w:r>
      <w:r>
        <w:rPr>
          <w:rFonts w:cstheme="minorHAnsi"/>
          <w:lang w:val="en-AU"/>
        </w:rPr>
        <w:t>two or less</w:t>
      </w:r>
      <w:r w:rsidRPr="00CA271C">
        <w:rPr>
          <w:rFonts w:cstheme="minorHAnsi"/>
          <w:lang w:val="en-AU"/>
        </w:rPr>
        <w:t xml:space="preserve"> times a day</w:t>
      </w:r>
      <w:r>
        <w:rPr>
          <w:rFonts w:cstheme="minorHAnsi"/>
          <w:lang w:val="en-AU"/>
        </w:rPr>
        <w:t>, eating c</w:t>
      </w:r>
      <w:r w:rsidRPr="00CA271C">
        <w:rPr>
          <w:rFonts w:cstheme="minorHAnsi"/>
          <w:lang w:val="en-AU"/>
        </w:rPr>
        <w:t xml:space="preserve">heese </w:t>
      </w:r>
      <w:r>
        <w:rPr>
          <w:rFonts w:cstheme="minorHAnsi"/>
          <w:lang w:val="en-AU"/>
        </w:rPr>
        <w:t>once or twice</w:t>
      </w:r>
      <w:r w:rsidRPr="00CA271C">
        <w:rPr>
          <w:rFonts w:cstheme="minorHAnsi"/>
          <w:lang w:val="en-AU"/>
        </w:rPr>
        <w:t xml:space="preserve"> per day</w:t>
      </w:r>
      <w:r>
        <w:rPr>
          <w:rFonts w:cstheme="minorHAnsi"/>
          <w:lang w:val="en-AU"/>
        </w:rPr>
        <w:t>, eating r</w:t>
      </w:r>
      <w:r w:rsidRPr="00CA271C">
        <w:rPr>
          <w:rFonts w:cstheme="minorHAnsi"/>
          <w:lang w:val="en-AU"/>
        </w:rPr>
        <w:t xml:space="preserve">ed meat </w:t>
      </w:r>
      <w:r>
        <w:rPr>
          <w:rFonts w:cstheme="minorHAnsi"/>
          <w:lang w:val="en-AU"/>
        </w:rPr>
        <w:t>less than once</w:t>
      </w:r>
      <w:r w:rsidRPr="00CA271C">
        <w:rPr>
          <w:rFonts w:cstheme="minorHAnsi"/>
          <w:lang w:val="en-AU"/>
        </w:rPr>
        <w:t xml:space="preserve"> a day</w:t>
      </w:r>
      <w:r>
        <w:rPr>
          <w:rFonts w:cstheme="minorHAnsi"/>
          <w:lang w:val="en-AU"/>
        </w:rPr>
        <w:t>, and eating p</w:t>
      </w:r>
      <w:r w:rsidRPr="00CA271C">
        <w:rPr>
          <w:rFonts w:cstheme="minorHAnsi"/>
          <w:lang w:val="en-AU"/>
        </w:rPr>
        <w:t xml:space="preserve">rocessed grains </w:t>
      </w:r>
      <w:r>
        <w:rPr>
          <w:rFonts w:cstheme="minorHAnsi"/>
          <w:lang w:val="en-AU"/>
        </w:rPr>
        <w:t>less than once</w:t>
      </w:r>
      <w:r w:rsidRPr="00CA271C">
        <w:rPr>
          <w:rFonts w:cstheme="minorHAnsi"/>
          <w:lang w:val="en-AU"/>
        </w:rPr>
        <w:t xml:space="preserve"> a day</w:t>
      </w:r>
      <w:r>
        <w:rPr>
          <w:lang w:val="en-AU"/>
        </w:rPr>
        <w:t>.</w:t>
      </w:r>
    </w:p>
    <w:p w14:paraId="31F0F969" w14:textId="77777777" w:rsidR="002509A8" w:rsidRDefault="002509A8" w:rsidP="002B693E">
      <w:pPr>
        <w:spacing w:line="480" w:lineRule="auto"/>
        <w:rPr>
          <w:lang w:val="en-AU"/>
        </w:rPr>
      </w:pPr>
    </w:p>
    <w:p w14:paraId="049D0824" w14:textId="77777777" w:rsidR="002509A8" w:rsidRPr="002509A8" w:rsidRDefault="002509A8" w:rsidP="002B693E">
      <w:pPr>
        <w:spacing w:line="480" w:lineRule="auto"/>
        <w:rPr>
          <w:color w:val="000000"/>
          <w:shd w:val="clear" w:color="auto" w:fill="FFFFFF"/>
        </w:rPr>
      </w:pPr>
      <w:r w:rsidRPr="00410B1A">
        <w:rPr>
          <w:lang w:val="en-AU"/>
        </w:rPr>
        <w:t xml:space="preserve">In the </w:t>
      </w:r>
      <w:r>
        <w:rPr>
          <w:lang w:val="en-AU"/>
        </w:rPr>
        <w:t xml:space="preserve">female-only </w:t>
      </w:r>
      <w:r w:rsidRPr="00410B1A">
        <w:rPr>
          <w:lang w:val="en-AU"/>
        </w:rPr>
        <w:t xml:space="preserve">analysis, menopausal status was dichotomised based on self-report </w:t>
      </w:r>
      <w:r>
        <w:rPr>
          <w:lang w:val="en-AU"/>
        </w:rPr>
        <w:t>(</w:t>
      </w:r>
      <w:r w:rsidRPr="00410B1A">
        <w:rPr>
          <w:lang w:val="en-AU"/>
        </w:rPr>
        <w:t>pre- or post-menopause</w:t>
      </w:r>
      <w:r>
        <w:rPr>
          <w:lang w:val="en-AU"/>
        </w:rPr>
        <w:t>)</w:t>
      </w:r>
      <w:r w:rsidRPr="00410B1A">
        <w:rPr>
          <w:lang w:val="en-AU"/>
        </w:rPr>
        <w:t xml:space="preserve">, those with unknown menopausal status were excluded for these analyses. </w:t>
      </w:r>
      <w:r>
        <w:t>Menopause risk and associated PAF was not calculated in the female-only Gout Cohort due to 22% of subjects missing menopausal status.</w:t>
      </w:r>
    </w:p>
    <w:p w14:paraId="174DFC23" w14:textId="77777777" w:rsidR="007C2C90" w:rsidRDefault="007C2C90" w:rsidP="002B693E">
      <w:pPr>
        <w:spacing w:line="480" w:lineRule="auto"/>
        <w:rPr>
          <w:rFonts w:cstheme="minorHAnsi"/>
          <w:i/>
          <w:lang w:val="en-AU"/>
        </w:rPr>
      </w:pPr>
    </w:p>
    <w:p w14:paraId="25CE80E4" w14:textId="77777777" w:rsidR="007C2C90" w:rsidRDefault="007C2C90" w:rsidP="002B693E">
      <w:pPr>
        <w:spacing w:line="480" w:lineRule="auto"/>
        <w:rPr>
          <w:rFonts w:cstheme="minorHAnsi"/>
          <w:i/>
          <w:lang w:val="en-AU"/>
        </w:rPr>
      </w:pPr>
      <w:r>
        <w:rPr>
          <w:rFonts w:cstheme="minorHAnsi"/>
          <w:i/>
          <w:lang w:val="en-AU"/>
        </w:rPr>
        <w:t>Statistical analysis</w:t>
      </w:r>
    </w:p>
    <w:p w14:paraId="7E336AD0" w14:textId="77777777" w:rsidR="000414A5" w:rsidRPr="00FE1B10" w:rsidRDefault="007C2C90" w:rsidP="002B693E">
      <w:pPr>
        <w:spacing w:line="480" w:lineRule="auto"/>
        <w:rPr>
          <w:lang w:val="en-AU"/>
        </w:rPr>
      </w:pPr>
      <w:r>
        <w:rPr>
          <w:rFonts w:cs="Calibri"/>
          <w:color w:val="000000" w:themeColor="text1"/>
          <w:lang w:val="en-AU"/>
        </w:rPr>
        <w:t>For AAF t</w:t>
      </w:r>
      <w:r w:rsidRPr="003C1857">
        <w:rPr>
          <w:rFonts w:cs="Calibri"/>
          <w:color w:val="000000" w:themeColor="text1"/>
          <w:lang w:val="en-AU"/>
        </w:rPr>
        <w:t>h</w:t>
      </w:r>
      <w:r>
        <w:rPr>
          <w:rFonts w:cs="Calibri"/>
          <w:color w:val="000000" w:themeColor="text1"/>
          <w:lang w:val="en-AU"/>
        </w:rPr>
        <w:t xml:space="preserve">e </w:t>
      </w:r>
      <w:r w:rsidRPr="003C1857">
        <w:rPr>
          <w:rFonts w:cs="Calibri"/>
          <w:color w:val="000000" w:themeColor="text1"/>
          <w:lang w:val="en-AU"/>
        </w:rPr>
        <w:t>multivaria</w:t>
      </w:r>
      <w:r>
        <w:rPr>
          <w:rFonts w:cs="Calibri"/>
          <w:color w:val="000000" w:themeColor="text1"/>
          <w:lang w:val="en-AU"/>
        </w:rPr>
        <w:t>ble</w:t>
      </w:r>
      <w:r w:rsidRPr="003C1857">
        <w:rPr>
          <w:rFonts w:cs="Calibri"/>
          <w:color w:val="000000" w:themeColor="text1"/>
          <w:lang w:val="en-AU"/>
        </w:rPr>
        <w:t xml:space="preserve"> model </w:t>
      </w:r>
      <w:r>
        <w:rPr>
          <w:rFonts w:cs="Calibri"/>
          <w:color w:val="000000" w:themeColor="text1"/>
          <w:lang w:val="en-AU"/>
        </w:rPr>
        <w:t xml:space="preserve">in the </w:t>
      </w:r>
      <w:r w:rsidRPr="003C1857">
        <w:rPr>
          <w:rFonts w:cs="Calibri"/>
          <w:color w:val="000000" w:themeColor="text1"/>
          <w:lang w:val="en-AU"/>
        </w:rPr>
        <w:t>R function averageAF</w:t>
      </w:r>
      <w:r>
        <w:rPr>
          <w:rFonts w:cs="Calibri"/>
          <w:color w:val="000000" w:themeColor="text1"/>
          <w:lang w:val="en-AU"/>
        </w:rPr>
        <w:t xml:space="preserve"> </w:t>
      </w:r>
      <w:r>
        <w:rPr>
          <w:rFonts w:cs="Calibri"/>
          <w:noProof/>
          <w:color w:val="000000" w:themeColor="text1"/>
          <w:lang w:val="en-AU"/>
        </w:rPr>
        <w:t>(</w:t>
      </w:r>
      <w:r w:rsidR="005553F5">
        <w:rPr>
          <w:rFonts w:cs="Calibri"/>
          <w:noProof/>
          <w:color w:val="000000" w:themeColor="text1"/>
          <w:lang w:val="en-AU"/>
        </w:rPr>
        <w:t>5</w:t>
      </w:r>
      <w:r>
        <w:rPr>
          <w:rFonts w:cs="Calibri"/>
          <w:noProof/>
          <w:color w:val="000000" w:themeColor="text1"/>
          <w:lang w:val="en-AU"/>
        </w:rPr>
        <w:t>)</w:t>
      </w:r>
      <w:r>
        <w:rPr>
          <w:rFonts w:cs="Calibri"/>
          <w:color w:val="000000" w:themeColor="text1"/>
          <w:lang w:val="en-AU"/>
        </w:rPr>
        <w:t xml:space="preserve"> </w:t>
      </w:r>
      <w:r w:rsidRPr="003C1857">
        <w:rPr>
          <w:rFonts w:cs="Calibri"/>
          <w:color w:val="000000" w:themeColor="text1"/>
          <w:shd w:val="clear" w:color="auto" w:fill="FFFFFF"/>
        </w:rPr>
        <w:t xml:space="preserve">uses a generalised </w:t>
      </w:r>
      <w:r>
        <w:rPr>
          <w:rFonts w:cs="Calibri"/>
          <w:color w:val="000000" w:themeColor="text1"/>
          <w:shd w:val="clear" w:color="auto" w:fill="FFFFFF"/>
        </w:rPr>
        <w:t xml:space="preserve">logistic </w:t>
      </w:r>
      <w:r w:rsidRPr="003C1857">
        <w:rPr>
          <w:rFonts w:cs="Calibri"/>
          <w:color w:val="000000" w:themeColor="text1"/>
          <w:shd w:val="clear" w:color="auto" w:fill="FFFFFF"/>
        </w:rPr>
        <w:t xml:space="preserve">model for </w:t>
      </w:r>
      <w:r>
        <w:rPr>
          <w:rFonts w:cs="Calibri"/>
          <w:color w:val="000000" w:themeColor="text1"/>
          <w:shd w:val="clear" w:color="auto" w:fill="FFFFFF"/>
        </w:rPr>
        <w:t>HU</w:t>
      </w:r>
      <w:r w:rsidRPr="003C1857">
        <w:rPr>
          <w:rFonts w:cs="Calibri"/>
          <w:color w:val="000000" w:themeColor="text1"/>
          <w:shd w:val="clear" w:color="auto" w:fill="FFFFFF"/>
        </w:rPr>
        <w:t xml:space="preserve"> and multiple (k) binary covariates, taking covariates off sequentially, then changing the order of sequential removal and running over k! permutations. The </w:t>
      </w:r>
      <w:r>
        <w:rPr>
          <w:rFonts w:cs="Calibri"/>
          <w:color w:val="000000" w:themeColor="text1"/>
          <w:shd w:val="clear" w:color="auto" w:fill="FFFFFF"/>
        </w:rPr>
        <w:t>AAF</w:t>
      </w:r>
      <w:r w:rsidRPr="003C1857">
        <w:rPr>
          <w:rFonts w:cs="Calibri"/>
          <w:color w:val="000000" w:themeColor="text1"/>
          <w:shd w:val="clear" w:color="auto" w:fill="FFFFFF"/>
        </w:rPr>
        <w:t xml:space="preserve"> is the average </w:t>
      </w:r>
      <w:r>
        <w:rPr>
          <w:rFonts w:cs="Calibri"/>
          <w:color w:val="000000" w:themeColor="text1"/>
          <w:shd w:val="clear" w:color="auto" w:fill="FFFFFF"/>
        </w:rPr>
        <w:t xml:space="preserve">(mean) number of predicted cases attributable to each covariate separately </w:t>
      </w:r>
      <w:r w:rsidRPr="003C1857">
        <w:rPr>
          <w:rFonts w:cs="Calibri"/>
          <w:color w:val="000000" w:themeColor="text1"/>
          <w:shd w:val="clear" w:color="auto" w:fill="FFFFFF"/>
        </w:rPr>
        <w:t>over all k! permutations</w:t>
      </w:r>
      <w:r>
        <w:rPr>
          <w:rFonts w:cs="Calibri"/>
          <w:color w:val="000000" w:themeColor="text1"/>
          <w:shd w:val="clear" w:color="auto" w:fill="FFFFFF"/>
        </w:rPr>
        <w:t xml:space="preserve"> divided by the observed number of cases</w:t>
      </w:r>
      <w:r w:rsidRPr="003D6589">
        <w:rPr>
          <w:rFonts w:cs="Calibri"/>
          <w:color w:val="000000" w:themeColor="text1"/>
          <w:shd w:val="clear" w:color="auto" w:fill="FFFFFF"/>
        </w:rPr>
        <w:t>. The standard error of the mean number of predicted cases was calculated (standard deviation divided by k! permutations) then converted to 95% confidence intervals around the mean. These were subsequently divided by the observed number of cases to create the AAF confidence intervals for each covariate</w:t>
      </w:r>
      <w:r w:rsidR="00DC360E">
        <w:rPr>
          <w:rFonts w:cs="Calibri"/>
          <w:color w:val="000000" w:themeColor="text1"/>
          <w:shd w:val="clear" w:color="auto" w:fill="FFFFFF"/>
        </w:rPr>
        <w:t xml:space="preserve"> (Text S1)</w:t>
      </w:r>
      <w:r w:rsidRPr="003D6589">
        <w:rPr>
          <w:rFonts w:cs="Calibri"/>
          <w:color w:val="000000" w:themeColor="text1"/>
          <w:shd w:val="clear" w:color="auto" w:fill="FFFFFF"/>
        </w:rPr>
        <w:t>.</w:t>
      </w:r>
      <w:r>
        <w:rPr>
          <w:rFonts w:cs="Calibri"/>
          <w:color w:val="000000" w:themeColor="text1"/>
          <w:shd w:val="clear" w:color="auto" w:fill="FFFFFF"/>
        </w:rPr>
        <w:t xml:space="preserve"> While we calculated PAF a single time, adjusted for all known or available confounding risk factors, AAF is calculated from multiple permutations, each adjusted for a subset of those known or available confounding risk factors (ranging from unadjusted to fully adjusted, with all possible adjusting orders in between) </w:t>
      </w:r>
      <w:r>
        <w:rPr>
          <w:rFonts w:cs="Calibri"/>
          <w:noProof/>
          <w:color w:val="000000" w:themeColor="text1"/>
          <w:shd w:val="clear" w:color="auto" w:fill="FFFFFF"/>
        </w:rPr>
        <w:t>(</w:t>
      </w:r>
      <w:r w:rsidR="005553F5">
        <w:rPr>
          <w:rFonts w:cs="Calibri"/>
          <w:noProof/>
          <w:color w:val="000000" w:themeColor="text1"/>
          <w:shd w:val="clear" w:color="auto" w:fill="FFFFFF"/>
        </w:rPr>
        <w:t>5,6</w:t>
      </w:r>
      <w:r>
        <w:rPr>
          <w:rFonts w:cs="Calibri"/>
          <w:noProof/>
          <w:color w:val="000000" w:themeColor="text1"/>
          <w:shd w:val="clear" w:color="auto" w:fill="FFFFFF"/>
        </w:rPr>
        <w:t>)</w:t>
      </w:r>
      <w:r>
        <w:rPr>
          <w:rFonts w:cs="Calibri"/>
          <w:color w:val="000000" w:themeColor="text1"/>
          <w:shd w:val="clear" w:color="auto" w:fill="FFFFFF"/>
        </w:rPr>
        <w:t xml:space="preserve">. This reduces the influence a single confounding risk factor can have on the AAF and recognises that multiple risk factors are involved in disease risk and may work through a shared risk pathway </w:t>
      </w:r>
      <w:r>
        <w:rPr>
          <w:rFonts w:cs="Calibri"/>
          <w:noProof/>
          <w:color w:val="000000" w:themeColor="text1"/>
          <w:shd w:val="clear" w:color="auto" w:fill="FFFFFF"/>
        </w:rPr>
        <w:t>(</w:t>
      </w:r>
      <w:r w:rsidR="005553F5">
        <w:rPr>
          <w:rFonts w:cs="Calibri"/>
          <w:noProof/>
          <w:color w:val="000000" w:themeColor="text1"/>
          <w:shd w:val="clear" w:color="auto" w:fill="FFFFFF"/>
        </w:rPr>
        <w:t>6</w:t>
      </w:r>
      <w:r>
        <w:rPr>
          <w:rFonts w:cs="Calibri"/>
          <w:noProof/>
          <w:color w:val="000000" w:themeColor="text1"/>
          <w:shd w:val="clear" w:color="auto" w:fill="FFFFFF"/>
        </w:rPr>
        <w:t>)</w:t>
      </w:r>
      <w:r>
        <w:rPr>
          <w:rFonts w:cs="Calibri"/>
          <w:color w:val="000000" w:themeColor="text1"/>
          <w:shd w:val="clear" w:color="auto" w:fill="FFFFFF"/>
        </w:rPr>
        <w:t xml:space="preserve">. The method also ensures the order of removal of confounding risk factors from the </w:t>
      </w:r>
      <w:r>
        <w:rPr>
          <w:rFonts w:cs="Calibri"/>
          <w:color w:val="000000" w:themeColor="text1"/>
          <w:shd w:val="clear" w:color="auto" w:fill="FFFFFF"/>
        </w:rPr>
        <w:lastRenderedPageBreak/>
        <w:t>permutations does not unduly influence the result obtained, by averaging the result across all possible confounding risk factor removal orders.</w:t>
      </w:r>
      <w:r w:rsidR="000414A5">
        <w:rPr>
          <w:lang w:val="en-AU"/>
        </w:rPr>
        <w:br w:type="page"/>
      </w:r>
    </w:p>
    <w:p w14:paraId="1595B26A" w14:textId="77777777" w:rsidR="000414A5" w:rsidRDefault="000414A5" w:rsidP="002B693E">
      <w:pPr>
        <w:spacing w:after="240" w:line="480" w:lineRule="auto"/>
        <w:jc w:val="both"/>
        <w:rPr>
          <w:b/>
          <w:lang w:val="en-AU"/>
        </w:rPr>
      </w:pPr>
      <w:r w:rsidRPr="00E5184A">
        <w:rPr>
          <w:b/>
          <w:lang w:val="en-AU"/>
        </w:rPr>
        <w:lastRenderedPageBreak/>
        <w:t>Table S1</w:t>
      </w:r>
      <w:r>
        <w:rPr>
          <w:b/>
          <w:lang w:val="en-AU"/>
        </w:rPr>
        <w:t>.</w:t>
      </w:r>
      <w:r w:rsidRPr="00E5184A">
        <w:rPr>
          <w:b/>
          <w:lang w:val="en-AU"/>
        </w:rPr>
        <w:t xml:space="preserve"> </w:t>
      </w:r>
      <w:r w:rsidRPr="000D418B">
        <w:rPr>
          <w:bCs/>
          <w:lang w:val="en-AU"/>
        </w:rPr>
        <w:t>Sex</w:t>
      </w:r>
      <w:r>
        <w:rPr>
          <w:bCs/>
          <w:lang w:val="en-AU"/>
        </w:rPr>
        <w:t>-s</w:t>
      </w:r>
      <w:r w:rsidRPr="000D418B">
        <w:rPr>
          <w:bCs/>
          <w:lang w:val="en-AU"/>
        </w:rPr>
        <w:t>tratified population attributable and average attributable fractions for environmental and endogenous risk exposures for hyperuricaemia</w:t>
      </w:r>
      <w:r w:rsidR="00E16394">
        <w:rPr>
          <w:bCs/>
          <w:lang w:val="en-AU"/>
        </w:rPr>
        <w:t xml:space="preserve"> (Excel file)</w:t>
      </w:r>
    </w:p>
    <w:p w14:paraId="2AEA41EF" w14:textId="77777777" w:rsidR="000414A5" w:rsidRDefault="000414A5" w:rsidP="002B693E">
      <w:pPr>
        <w:spacing w:after="240" w:line="480" w:lineRule="auto"/>
        <w:jc w:val="both"/>
        <w:rPr>
          <w:b/>
          <w:lang w:val="en-AU"/>
        </w:rPr>
      </w:pPr>
      <w:r w:rsidRPr="00E5184A">
        <w:rPr>
          <w:b/>
          <w:lang w:val="en-AU"/>
        </w:rPr>
        <w:t>Table S2</w:t>
      </w:r>
      <w:r>
        <w:rPr>
          <w:b/>
          <w:lang w:val="en-AU"/>
        </w:rPr>
        <w:t>.</w:t>
      </w:r>
      <w:r w:rsidRPr="00E5184A">
        <w:rPr>
          <w:b/>
          <w:lang w:val="en-AU"/>
        </w:rPr>
        <w:t xml:space="preserve"> </w:t>
      </w:r>
      <w:r w:rsidRPr="000D418B">
        <w:rPr>
          <w:bCs/>
          <w:lang w:val="en-AU"/>
        </w:rPr>
        <w:t>Population and average attributable fractions of serum urate-associated genetic variants for hyperuricemia</w:t>
      </w:r>
      <w:r w:rsidR="00E16394">
        <w:rPr>
          <w:bCs/>
          <w:lang w:val="en-AU"/>
        </w:rPr>
        <w:t xml:space="preserve"> (Excel file)</w:t>
      </w:r>
    </w:p>
    <w:p w14:paraId="77F034DA" w14:textId="5CA3CD9C" w:rsidR="000414A5" w:rsidRPr="000D418B" w:rsidRDefault="000414A5" w:rsidP="002B693E">
      <w:pPr>
        <w:spacing w:after="240" w:line="480" w:lineRule="auto"/>
        <w:jc w:val="both"/>
        <w:rPr>
          <w:bCs/>
          <w:lang w:val="en-AU"/>
        </w:rPr>
      </w:pPr>
      <w:r>
        <w:rPr>
          <w:b/>
          <w:lang w:val="en-AU"/>
        </w:rPr>
        <w:t xml:space="preserve">Table S3. </w:t>
      </w:r>
      <w:r>
        <w:rPr>
          <w:bCs/>
          <w:lang w:val="en-AU"/>
        </w:rPr>
        <w:t>Causal effects of dietary habits on urate levels: Mendelian randomisation results</w:t>
      </w:r>
      <w:r w:rsidR="004E3EAB">
        <w:rPr>
          <w:bCs/>
          <w:lang w:val="en-AU"/>
        </w:rPr>
        <w:t xml:space="preserve"> (Excel file)</w:t>
      </w:r>
    </w:p>
    <w:p w14:paraId="552896E4" w14:textId="55FDEAE9" w:rsidR="000414A5" w:rsidRDefault="000414A5" w:rsidP="002B693E">
      <w:pPr>
        <w:spacing w:after="240" w:line="480" w:lineRule="auto"/>
        <w:jc w:val="both"/>
        <w:rPr>
          <w:lang w:val="en-AU"/>
        </w:rPr>
      </w:pPr>
      <w:r>
        <w:rPr>
          <w:b/>
          <w:lang w:val="en-AU"/>
        </w:rPr>
        <w:t xml:space="preserve">Table S4. </w:t>
      </w:r>
      <w:r>
        <w:rPr>
          <w:lang w:val="en-AU"/>
        </w:rPr>
        <w:t>Genetic variants comprising the four dietary habit instrumental variables</w:t>
      </w:r>
      <w:r w:rsidR="004E3EAB">
        <w:rPr>
          <w:lang w:val="en-AU"/>
        </w:rPr>
        <w:t xml:space="preserve"> (Excel file)</w:t>
      </w:r>
    </w:p>
    <w:p w14:paraId="113180DF" w14:textId="77777777" w:rsidR="000414A5" w:rsidRDefault="000414A5" w:rsidP="002B693E">
      <w:pPr>
        <w:spacing w:line="480" w:lineRule="auto"/>
        <w:jc w:val="both"/>
        <w:rPr>
          <w:b/>
          <w:lang w:val="en-AU"/>
        </w:rPr>
      </w:pPr>
    </w:p>
    <w:p w14:paraId="3329AEE6" w14:textId="0120496B" w:rsidR="0072613C" w:rsidRDefault="000414A5" w:rsidP="002B693E">
      <w:pPr>
        <w:spacing w:line="480" w:lineRule="auto"/>
        <w:rPr>
          <w:bCs/>
          <w:lang w:val="en-AU"/>
        </w:rPr>
      </w:pPr>
      <w:r>
        <w:rPr>
          <w:b/>
          <w:lang w:val="en-AU"/>
        </w:rPr>
        <w:t xml:space="preserve">Text S1. </w:t>
      </w:r>
      <w:r>
        <w:rPr>
          <w:bCs/>
          <w:lang w:val="en-AU"/>
        </w:rPr>
        <w:t xml:space="preserve"> Edited averageAF.R script for average attributable fraction confidence interval calculation, originally sourced from Rückinger </w:t>
      </w:r>
      <w:r w:rsidRPr="00621A65">
        <w:rPr>
          <w:bCs/>
          <w:i/>
          <w:iCs/>
          <w:lang w:val="en-AU"/>
        </w:rPr>
        <w:t>et al.</w:t>
      </w:r>
      <w:r>
        <w:rPr>
          <w:bCs/>
          <w:i/>
          <w:iCs/>
          <w:lang w:val="en-AU"/>
        </w:rPr>
        <w:t xml:space="preserve"> </w:t>
      </w:r>
      <w:r>
        <w:rPr>
          <w:bCs/>
          <w:lang w:val="en-AU"/>
        </w:rPr>
        <w:t>(</w:t>
      </w:r>
      <w:r w:rsidR="00EB45AB">
        <w:rPr>
          <w:bCs/>
          <w:lang w:val="en-AU"/>
        </w:rPr>
        <w:t>5</w:t>
      </w:r>
      <w:r>
        <w:rPr>
          <w:bCs/>
          <w:lang w:val="en-AU"/>
        </w:rPr>
        <w:t>).</w:t>
      </w:r>
    </w:p>
    <w:p w14:paraId="4EAD3FFD" w14:textId="77777777" w:rsidR="0072613C" w:rsidRDefault="0072613C">
      <w:pPr>
        <w:rPr>
          <w:bCs/>
          <w:lang w:val="en-AU"/>
        </w:rPr>
      </w:pPr>
      <w:r>
        <w:rPr>
          <w:bCs/>
          <w:lang w:val="en-AU"/>
        </w:rPr>
        <w:br w:type="page"/>
      </w:r>
    </w:p>
    <w:p w14:paraId="05BB650D" w14:textId="126B96AC" w:rsidR="003C781B" w:rsidRDefault="0072613C" w:rsidP="002B693E">
      <w:pPr>
        <w:spacing w:line="480" w:lineRule="auto"/>
        <w:rPr>
          <w:lang w:val="en-AU"/>
        </w:rPr>
      </w:pPr>
      <w:r>
        <w:rPr>
          <w:b/>
          <w:bCs/>
          <w:lang w:val="en-AU"/>
        </w:rPr>
        <w:lastRenderedPageBreak/>
        <w:t xml:space="preserve">Figure S1 FISH plot of primary Mendelian randomization analysis vs analysis including all ambiguous SNPs. </w:t>
      </w:r>
      <w:r>
        <w:rPr>
          <w:lang w:val="en-AU"/>
        </w:rPr>
        <w:t>Points in the upper right quadrant represent those with consistent effect directions and those in the lower left quadrant represent those with inconsistent effect directions. Nearly all of the points, especially the most significant points, are on the 45 degree line in the upper right quadrant.</w:t>
      </w:r>
    </w:p>
    <w:p w14:paraId="44800D77" w14:textId="2CDB8B9A" w:rsidR="0072613C" w:rsidRPr="00B401A3" w:rsidRDefault="00B401A3" w:rsidP="002B693E">
      <w:pPr>
        <w:spacing w:line="480" w:lineRule="auto"/>
        <w:rPr>
          <w:b/>
          <w:bCs/>
          <w:lang w:val="en-AU"/>
        </w:rPr>
      </w:pPr>
      <w:r>
        <w:rPr>
          <w:b/>
          <w:bCs/>
          <w:noProof/>
          <w:lang w:val="en-AU"/>
        </w:rPr>
        <w:drawing>
          <wp:inline distT="0" distB="0" distL="0" distR="0" wp14:anchorId="7D87570D" wp14:editId="700788B9">
            <wp:extent cx="5727700" cy="572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612776C2" w14:textId="77777777" w:rsidR="003C781B" w:rsidRDefault="003C781B">
      <w:pPr>
        <w:rPr>
          <w:lang w:val="en-AU"/>
        </w:rPr>
      </w:pPr>
      <w:r>
        <w:rPr>
          <w:lang w:val="en-AU"/>
        </w:rPr>
        <w:br w:type="page"/>
      </w:r>
    </w:p>
    <w:p w14:paraId="4203DC13" w14:textId="77777777" w:rsidR="00707562" w:rsidRDefault="00707562">
      <w:pPr>
        <w:rPr>
          <w:b/>
          <w:lang w:val="en-AU"/>
        </w:rPr>
      </w:pPr>
      <w:r>
        <w:rPr>
          <w:b/>
          <w:lang w:val="en-AU"/>
        </w:rPr>
        <w:lastRenderedPageBreak/>
        <w:t xml:space="preserve">Text S1 </w:t>
      </w:r>
      <w:r>
        <w:rPr>
          <w:bCs/>
          <w:lang w:val="en-AU"/>
        </w:rPr>
        <w:t>Edited averageAF.R script for average attributable fraction confidence interval calculation</w:t>
      </w:r>
    </w:p>
    <w:p w14:paraId="291E9873"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w:t>
      </w:r>
    </w:p>
    <w:p w14:paraId="15CB3B9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averageAF</w:t>
      </w:r>
    </w:p>
    <w:p w14:paraId="30B8B73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Simon Rückinger, Rüdiger von Kries, and André Michael Toschke</w:t>
      </w:r>
    </w:p>
    <w:p w14:paraId="395A7448"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January 2009</w:t>
      </w:r>
    </w:p>
    <w:p w14:paraId="5E2BAED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PMID: 19166593</w:t>
      </w:r>
    </w:p>
    <w:p w14:paraId="4CDE7EC3"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0EB1DBD4"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Edited by: Ruth Topless and Tanya Major</w:t>
      </w:r>
    </w:p>
    <w:p w14:paraId="584B1773"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February 2020</w:t>
      </w:r>
    </w:p>
    <w:p w14:paraId="53CF82E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5ADD8F83" w14:textId="77777777" w:rsidR="00707562" w:rsidRPr="00707562" w:rsidRDefault="00707562" w:rsidP="00707562">
      <w:pPr>
        <w:rPr>
          <w:rFonts w:asciiTheme="minorHAnsi" w:hAnsiTheme="minorHAnsi" w:cstheme="minorHAnsi"/>
          <w:sz w:val="20"/>
          <w:szCs w:val="20"/>
          <w:lang w:val="en-AU"/>
        </w:rPr>
      </w:pPr>
    </w:p>
    <w:p w14:paraId="00D78C4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averageAF = function(formula = NULL, data = NULL) {</w:t>
      </w:r>
    </w:p>
    <w:p w14:paraId="682C502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d = model.frame(formula, data)</w:t>
      </w:r>
    </w:p>
    <w:p w14:paraId="070C17BB"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if (any(!(d == 1 |</w:t>
      </w:r>
    </w:p>
    <w:p w14:paraId="75F70FE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d == 0)))</w:t>
      </w:r>
    </w:p>
    <w:p w14:paraId="222A5994"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stop("only dichotomized (0/1) variables allowed")</w:t>
      </w:r>
    </w:p>
    <w:p w14:paraId="4DBB470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vars = ncol(d) - 1</w:t>
      </w:r>
    </w:p>
    <w:p w14:paraId="24A09D3A"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n = nrow(d)</w:t>
      </w:r>
    </w:p>
    <w:p w14:paraId="40BC911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obs.cases = sum(d[, 1])</w:t>
      </w:r>
    </w:p>
    <w:p w14:paraId="1D15E83C"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m = glm(formula, family = binomial, data = d)</w:t>
      </w:r>
    </w:p>
    <w:p w14:paraId="6C7AFBF8"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if (any(m$coef[-1] &lt; 0))</w:t>
      </w:r>
    </w:p>
    <w:p w14:paraId="45213F72"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stop("at least one variable is not a risk factor")</w:t>
      </w:r>
    </w:p>
    <w:p w14:paraId="278BD70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perm = function(from, to, vec) {</w:t>
      </w:r>
    </w:p>
    <w:p w14:paraId="3AC5D102"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if (to == 1)</w:t>
      </w:r>
    </w:p>
    <w:p w14:paraId="51F017E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return(matrix(vec, from, 1))</w:t>
      </w:r>
    </w:p>
    <w:p w14:paraId="02D22BDA"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else if (from == 1)</w:t>
      </w:r>
    </w:p>
    <w:p w14:paraId="53E8F46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matrix(vec, 1, to)</w:t>
      </w:r>
    </w:p>
    <w:p w14:paraId="2AF41132"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else{</w:t>
      </w:r>
    </w:p>
    <w:p w14:paraId="7044817B"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X = NULL</w:t>
      </w:r>
    </w:p>
    <w:p w14:paraId="0F282F1E"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for (i in 1:from) {</w:t>
      </w:r>
    </w:p>
    <w:p w14:paraId="13A446E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X = rbind(X, cbind(vec[i], Recall(from - 1, to - 1, vec[-i])))</w:t>
      </w:r>
    </w:p>
    <w:p w14:paraId="203FC2F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49272B1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return(X)</w:t>
      </w:r>
    </w:p>
    <w:p w14:paraId="7EABDA87"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21EB6574"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5E9FE915"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indices = perm(vars, vars, 2:(vars + 1))</w:t>
      </w:r>
    </w:p>
    <w:p w14:paraId="37BDB195"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pred.cases.m = matrix(NA, nrow = nrow(indices), ncol = vars)</w:t>
      </w:r>
    </w:p>
    <w:p w14:paraId="03526AA3"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prev.cases.m = matrix(NA, nrow = nrow(indices), ncol = vars)</w:t>
      </w:r>
    </w:p>
    <w:p w14:paraId="0BD1A9F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d1 = d</w:t>
      </w:r>
    </w:p>
    <w:p w14:paraId="0572056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for (i in 1:nrow(indices)) {</w:t>
      </w:r>
    </w:p>
    <w:p w14:paraId="02472D3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for (k in 1:vars) {</w:t>
      </w:r>
    </w:p>
    <w:p w14:paraId="7F9F310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d[, indices[i, k]] = rep(0, n)</w:t>
      </w:r>
    </w:p>
    <w:p w14:paraId="19292232"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pred.cases.m[i, k] = sum(predict.glm(m, d, "response"))</w:t>
      </w:r>
    </w:p>
    <w:p w14:paraId="5A11A41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71CFFA1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d = d1</w:t>
      </w:r>
    </w:p>
    <w:p w14:paraId="52BA1CF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48F737FB"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pred.cases.m = cbind(rep(obs.cases, nrow(indices)), pred.cases.m)</w:t>
      </w:r>
    </w:p>
    <w:p w14:paraId="4F2B6DC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for (i in 1:nrow(indices)) {</w:t>
      </w:r>
    </w:p>
    <w:p w14:paraId="501E493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for (k in 1:vars) {</w:t>
      </w:r>
    </w:p>
    <w:p w14:paraId="34EBEDD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prev.cases.m[i, indices[i, k] - 1] = pred.cases.m[i, k] - pred.cases.m[i, k + 1]</w:t>
      </w:r>
    </w:p>
    <w:p w14:paraId="5A0F4A2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179CDB9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77A006E4" w14:textId="77777777" w:rsidR="00707562" w:rsidRPr="00707562" w:rsidRDefault="00707562" w:rsidP="00707562">
      <w:pPr>
        <w:rPr>
          <w:rFonts w:asciiTheme="minorHAnsi" w:hAnsiTheme="minorHAnsi" w:cstheme="minorHAnsi"/>
          <w:sz w:val="20"/>
          <w:szCs w:val="20"/>
          <w:lang w:val="en-AU"/>
        </w:rPr>
      </w:pPr>
    </w:p>
    <w:p w14:paraId="51354207"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 = apply(prev.cases.m, 2, mean)</w:t>
      </w:r>
    </w:p>
    <w:p w14:paraId="0332E14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PARF = prev.cases / obs.cases</w:t>
      </w:r>
    </w:p>
    <w:p w14:paraId="51F95FB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lastRenderedPageBreak/>
        <w:t xml:space="preserve">  names(PARF) = names(d)[-1]</w:t>
      </w:r>
    </w:p>
    <w:p w14:paraId="66DA0A82"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return(PARF)</w:t>
      </w:r>
    </w:p>
    <w:p w14:paraId="55D206F3" w14:textId="77777777" w:rsidR="00707562" w:rsidRPr="00707562" w:rsidRDefault="00707562" w:rsidP="00707562">
      <w:pPr>
        <w:rPr>
          <w:rFonts w:asciiTheme="minorHAnsi" w:hAnsiTheme="minorHAnsi" w:cstheme="minorHAnsi"/>
          <w:sz w:val="20"/>
          <w:szCs w:val="20"/>
          <w:lang w:val="en-AU"/>
        </w:rPr>
      </w:pPr>
    </w:p>
    <w:p w14:paraId="75617D6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added code segment</w:t>
      </w:r>
    </w:p>
    <w:p w14:paraId="3815C70B"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 original code: calculates average number of predicted cases, then calculates proportion of original cases from that average</w:t>
      </w:r>
    </w:p>
    <w:p w14:paraId="3681C1F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2AFC14A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 calculate s.e. of mean predicted case number</w:t>
      </w:r>
    </w:p>
    <w:p w14:paraId="23B1FDCD"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prev.cases.se = apply(prev.cases.m, 2, sd)</w:t>
      </w:r>
    </w:p>
    <w:p w14:paraId="7E6269DA"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prev.cases.se = prev.cases.se / sqrt(nrow(indices))</w:t>
      </w:r>
    </w:p>
    <w:p w14:paraId="2083BBDF" w14:textId="77777777" w:rsidR="00707562" w:rsidRPr="00707562" w:rsidRDefault="00707562" w:rsidP="00707562">
      <w:pPr>
        <w:rPr>
          <w:rFonts w:asciiTheme="minorHAnsi" w:hAnsiTheme="minorHAnsi" w:cstheme="minorHAnsi"/>
          <w:sz w:val="20"/>
          <w:szCs w:val="20"/>
          <w:lang w:val="en-AU"/>
        </w:rPr>
      </w:pPr>
    </w:p>
    <w:p w14:paraId="78CB0E3C"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 calculate upper/lower CI</w:t>
      </w:r>
    </w:p>
    <w:p w14:paraId="20EE04CA"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t_value &lt;- qt(p = 0.975, df = nrow(indices) - 1)</w:t>
      </w:r>
    </w:p>
    <w:p w14:paraId="663A8FEC"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prev.cases.upper = prev.cases + (t_value * prev.cases.se)</w:t>
      </w:r>
    </w:p>
    <w:p w14:paraId="6FB0491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prev.cases.lower = prev.cases - (t_value * prev.cases.se)</w:t>
      </w:r>
    </w:p>
    <w:p w14:paraId="58F00670"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0B33DAD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 convert to proportion of original cases</w:t>
      </w:r>
    </w:p>
    <w:p w14:paraId="5F604ADE"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SARF_up = prev.cases.upper / obs.cases</w:t>
      </w:r>
    </w:p>
    <w:p w14:paraId="0C2506C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names(SARF_up) = names(d)[-1]</w:t>
      </w:r>
    </w:p>
    <w:p w14:paraId="03820239"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2D9BF6D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SARF_low = prev.cases.lower / obs.cases</w:t>
      </w:r>
    </w:p>
    <w:p w14:paraId="53593713"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names(SARF_low) = names(d)[-1]</w:t>
      </w:r>
    </w:p>
    <w:p w14:paraId="20A2AAB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1B7D28D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 create dataframe of values to return</w:t>
      </w:r>
    </w:p>
    <w:p w14:paraId="2B95B16E"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output = data.frame(</w:t>
      </w:r>
    </w:p>
    <w:p w14:paraId="28C48834"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Variable = names(d)[-1],</w:t>
      </w:r>
    </w:p>
    <w:p w14:paraId="16A9F20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PARF = PARF,</w:t>
      </w:r>
    </w:p>
    <w:p w14:paraId="10B7E1A6"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LowerCI = SARF_low,</w:t>
      </w:r>
    </w:p>
    <w:p w14:paraId="7958599E"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UpperCI = SARF_up</w:t>
      </w:r>
    </w:p>
    <w:p w14:paraId="4D730B1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w:t>
      </w:r>
    </w:p>
    <w:p w14:paraId="517C7101"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 xml:space="preserve">  return(output)</w:t>
      </w:r>
    </w:p>
    <w:p w14:paraId="2E08076F" w14:textId="77777777" w:rsidR="00707562" w:rsidRPr="00707562" w:rsidRDefault="00707562" w:rsidP="00707562">
      <w:pPr>
        <w:rPr>
          <w:rFonts w:asciiTheme="minorHAnsi" w:hAnsiTheme="minorHAnsi" w:cstheme="minorHAnsi"/>
          <w:sz w:val="20"/>
          <w:szCs w:val="20"/>
          <w:lang w:val="en-AU"/>
        </w:rPr>
      </w:pPr>
      <w:r w:rsidRPr="00707562">
        <w:rPr>
          <w:rFonts w:asciiTheme="minorHAnsi" w:hAnsiTheme="minorHAnsi" w:cstheme="minorHAnsi"/>
          <w:sz w:val="20"/>
          <w:szCs w:val="20"/>
          <w:lang w:val="en-AU"/>
        </w:rPr>
        <w:t>####</w:t>
      </w:r>
    </w:p>
    <w:p w14:paraId="2D90BE1A" w14:textId="43030236" w:rsidR="007C2C90" w:rsidRDefault="00707562" w:rsidP="00E9229D">
      <w:pPr>
        <w:rPr>
          <w:i/>
        </w:rPr>
      </w:pPr>
      <w:r w:rsidRPr="00707562">
        <w:rPr>
          <w:rFonts w:asciiTheme="minorHAnsi" w:hAnsiTheme="minorHAnsi" w:cstheme="minorHAnsi"/>
          <w:sz w:val="20"/>
          <w:szCs w:val="20"/>
          <w:lang w:val="en-AU"/>
        </w:rPr>
        <w:t>}</w:t>
      </w:r>
    </w:p>
    <w:p w14:paraId="24D9AA63" w14:textId="77777777" w:rsidR="007C2C90" w:rsidRPr="002B693E" w:rsidRDefault="007C2C90" w:rsidP="002B693E">
      <w:pPr>
        <w:rPr>
          <w:i/>
        </w:rPr>
      </w:pPr>
      <w:r>
        <w:rPr>
          <w:i/>
        </w:rPr>
        <w:br w:type="page"/>
      </w:r>
      <w:r>
        <w:rPr>
          <w:b/>
        </w:rPr>
        <w:lastRenderedPageBreak/>
        <w:t>References</w:t>
      </w:r>
    </w:p>
    <w:p w14:paraId="4D6A619E" w14:textId="77777777" w:rsidR="007C2C90" w:rsidRPr="00F33A43" w:rsidRDefault="005553F5" w:rsidP="007645C4">
      <w:pPr>
        <w:pStyle w:val="EndNoteBibliography"/>
        <w:rPr>
          <w:noProof/>
        </w:rPr>
      </w:pPr>
      <w:r>
        <w:rPr>
          <w:noProof/>
        </w:rPr>
        <w:t>1</w:t>
      </w:r>
      <w:r w:rsidR="007C2C90" w:rsidRPr="00F33A43">
        <w:rPr>
          <w:noProof/>
        </w:rPr>
        <w:t>.</w:t>
      </w:r>
      <w:r w:rsidR="007C2C90" w:rsidRPr="00F33A43">
        <w:rPr>
          <w:noProof/>
        </w:rPr>
        <w:tab/>
      </w:r>
      <w:r w:rsidR="00AE4C88" w:rsidRPr="00F33A43">
        <w:rPr>
          <w:noProof/>
        </w:rPr>
        <w:t>Major TJ, Topless RK, Dalbeth N, Merriman TR. Evaluation of the diet wide contribution to serum urate levels: meta-analysis of population based cohorts. BMJ 2018;363:k3951.</w:t>
      </w:r>
    </w:p>
    <w:p w14:paraId="052FD972" w14:textId="77777777" w:rsidR="007C2C90" w:rsidRPr="00F33A43" w:rsidRDefault="005553F5" w:rsidP="007645C4">
      <w:pPr>
        <w:pStyle w:val="EndNoteBibliography"/>
        <w:rPr>
          <w:noProof/>
        </w:rPr>
      </w:pPr>
      <w:r>
        <w:rPr>
          <w:noProof/>
        </w:rPr>
        <w:t>2</w:t>
      </w:r>
      <w:r w:rsidR="007C2C90" w:rsidRPr="00F33A43">
        <w:rPr>
          <w:noProof/>
        </w:rPr>
        <w:t>.</w:t>
      </w:r>
      <w:r w:rsidR="007C2C90" w:rsidRPr="00F33A43">
        <w:rPr>
          <w:noProof/>
        </w:rPr>
        <w:tab/>
        <w:t xml:space="preserve">Liu B, Young H, Crowe FL, et al. Development and evaluation of the Oxford WebQ, a low-cost, web-based method for assessment of previous 24 h dietary intakes in large-scale prospective studies. </w:t>
      </w:r>
      <w:r w:rsidR="00AE4C88" w:rsidRPr="00F33A43">
        <w:rPr>
          <w:noProof/>
        </w:rPr>
        <w:t>Publ Health Nutr</w:t>
      </w:r>
      <w:r w:rsidR="007C2C90" w:rsidRPr="00F33A43">
        <w:rPr>
          <w:noProof/>
        </w:rPr>
        <w:t xml:space="preserve"> 2011;14:1998-2005.</w:t>
      </w:r>
    </w:p>
    <w:p w14:paraId="17B5A53C" w14:textId="77777777" w:rsidR="007C2C90" w:rsidRPr="00F33A43" w:rsidRDefault="005553F5" w:rsidP="007645C4">
      <w:pPr>
        <w:pStyle w:val="EndNoteBibliography"/>
        <w:rPr>
          <w:noProof/>
        </w:rPr>
      </w:pPr>
      <w:r>
        <w:rPr>
          <w:noProof/>
        </w:rPr>
        <w:t>3</w:t>
      </w:r>
      <w:r w:rsidR="007C2C90" w:rsidRPr="00F33A43">
        <w:rPr>
          <w:noProof/>
        </w:rPr>
        <w:t>.</w:t>
      </w:r>
      <w:r w:rsidR="007C2C90" w:rsidRPr="00F33A43">
        <w:rPr>
          <w:noProof/>
        </w:rPr>
        <w:tab/>
        <w:t>Bycroft C, Freeman C, Petkova D, et al. The UK Biobank resource with deep phenotyping and genomic data. Nature 2018;562:203-</w:t>
      </w:r>
      <w:r w:rsidR="00F33A43">
        <w:rPr>
          <w:noProof/>
        </w:rPr>
        <w:t>20</w:t>
      </w:r>
      <w:r w:rsidR="007C2C90" w:rsidRPr="00F33A43">
        <w:rPr>
          <w:noProof/>
        </w:rPr>
        <w:t>9.</w:t>
      </w:r>
    </w:p>
    <w:p w14:paraId="2E90B8D4" w14:textId="77777777" w:rsidR="007C2C90" w:rsidRPr="00F33A43" w:rsidRDefault="005553F5" w:rsidP="007645C4">
      <w:pPr>
        <w:pStyle w:val="EndNoteBibliography"/>
        <w:rPr>
          <w:noProof/>
        </w:rPr>
      </w:pPr>
      <w:r>
        <w:rPr>
          <w:noProof/>
        </w:rPr>
        <w:t>4</w:t>
      </w:r>
      <w:r w:rsidR="007C2C90" w:rsidRPr="00F33A43">
        <w:rPr>
          <w:noProof/>
        </w:rPr>
        <w:t>.</w:t>
      </w:r>
      <w:r w:rsidR="007C2C90" w:rsidRPr="00F33A43">
        <w:rPr>
          <w:noProof/>
        </w:rPr>
        <w:tab/>
        <w:t>Department of Nutrition Harvard. The Nutrition Source: Harvard T.H. Chan School of Public Health 2015 [Available from: http://www.hsph.harvard.edu/nutritionsource/healthy-eating-plate/.</w:t>
      </w:r>
    </w:p>
    <w:p w14:paraId="010F622E" w14:textId="77777777" w:rsidR="007C2C90" w:rsidRPr="00F33A43" w:rsidRDefault="005553F5" w:rsidP="007645C4">
      <w:pPr>
        <w:pStyle w:val="EndNoteBibliography"/>
        <w:rPr>
          <w:noProof/>
        </w:rPr>
      </w:pPr>
      <w:r>
        <w:rPr>
          <w:noProof/>
        </w:rPr>
        <w:t>5</w:t>
      </w:r>
      <w:r w:rsidR="007C2C90" w:rsidRPr="00F33A43">
        <w:rPr>
          <w:noProof/>
        </w:rPr>
        <w:t>.</w:t>
      </w:r>
      <w:r w:rsidR="007C2C90" w:rsidRPr="00F33A43">
        <w:rPr>
          <w:noProof/>
        </w:rPr>
        <w:tab/>
      </w:r>
      <w:r w:rsidR="007372EC" w:rsidRPr="00F33A43">
        <w:rPr>
          <w:noProof/>
        </w:rPr>
        <w:t>Rückinger S, von Kries R, Toschke AM. An illustration of and programs estimating attributable fractions in large scale surveys considering multiple risk factors. BMC Med Res Methodol 2009;9:7.</w:t>
      </w:r>
    </w:p>
    <w:p w14:paraId="463624ED" w14:textId="77777777" w:rsidR="007C2C90" w:rsidRPr="005553F5" w:rsidRDefault="005553F5" w:rsidP="005553F5">
      <w:pPr>
        <w:pStyle w:val="EndNoteBibliography"/>
        <w:rPr>
          <w:noProof/>
        </w:rPr>
      </w:pPr>
      <w:r>
        <w:rPr>
          <w:noProof/>
        </w:rPr>
        <w:t>6</w:t>
      </w:r>
      <w:r w:rsidR="007C2C90" w:rsidRPr="00F33A43">
        <w:rPr>
          <w:noProof/>
        </w:rPr>
        <w:t>.</w:t>
      </w:r>
      <w:r w:rsidR="007C2C90" w:rsidRPr="00F33A43">
        <w:rPr>
          <w:noProof/>
        </w:rPr>
        <w:tab/>
        <w:t xml:space="preserve">Eide GE, Gefeller O. Sequential and average attributable fractions as aids in the selection of preventive strategies. </w:t>
      </w:r>
      <w:r w:rsidR="007372EC" w:rsidRPr="00F33A43">
        <w:rPr>
          <w:noProof/>
        </w:rPr>
        <w:t>J Clin Epidemiol</w:t>
      </w:r>
      <w:r w:rsidR="007C2C90" w:rsidRPr="00F33A43">
        <w:rPr>
          <w:noProof/>
        </w:rPr>
        <w:t xml:space="preserve"> 1995;48:645-</w:t>
      </w:r>
      <w:r w:rsidR="00F33A43">
        <w:rPr>
          <w:noProof/>
        </w:rPr>
        <w:t>6</w:t>
      </w:r>
      <w:r w:rsidR="007C2C90" w:rsidRPr="00F33A43">
        <w:rPr>
          <w:noProof/>
        </w:rPr>
        <w:t>55.</w:t>
      </w:r>
    </w:p>
    <w:p w14:paraId="26336401" w14:textId="77777777" w:rsidR="007C3254" w:rsidRDefault="007C3254"/>
    <w:sectPr w:rsidR="007C3254" w:rsidSect="00D7690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32D3C"/>
    <w:multiLevelType w:val="hybridMultilevel"/>
    <w:tmpl w:val="1786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72BD"/>
    <w:multiLevelType w:val="hybridMultilevel"/>
    <w:tmpl w:val="0ABE7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97262"/>
    <w:multiLevelType w:val="hybridMultilevel"/>
    <w:tmpl w:val="D6C6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67C93"/>
    <w:multiLevelType w:val="hybridMultilevel"/>
    <w:tmpl w:val="F76CA7A6"/>
    <w:lvl w:ilvl="0" w:tplc="810C2F9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37FF5"/>
    <w:multiLevelType w:val="multilevel"/>
    <w:tmpl w:val="C6D44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8D7230"/>
    <w:multiLevelType w:val="hybridMultilevel"/>
    <w:tmpl w:val="B20AC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A10A5"/>
    <w:multiLevelType w:val="hybridMultilevel"/>
    <w:tmpl w:val="C9A4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8C3C89"/>
    <w:multiLevelType w:val="hybridMultilevel"/>
    <w:tmpl w:val="16E8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467B88"/>
    <w:multiLevelType w:val="hybridMultilevel"/>
    <w:tmpl w:val="BD084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4435CF"/>
    <w:multiLevelType w:val="hybridMultilevel"/>
    <w:tmpl w:val="5802A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22C58"/>
    <w:multiLevelType w:val="hybridMultilevel"/>
    <w:tmpl w:val="D44A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D0899"/>
    <w:multiLevelType w:val="hybridMultilevel"/>
    <w:tmpl w:val="2CF4D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52571B"/>
    <w:multiLevelType w:val="hybridMultilevel"/>
    <w:tmpl w:val="F490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F4127B"/>
    <w:multiLevelType w:val="hybridMultilevel"/>
    <w:tmpl w:val="3F14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F54358"/>
    <w:multiLevelType w:val="hybridMultilevel"/>
    <w:tmpl w:val="EB28F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01ED9"/>
    <w:multiLevelType w:val="hybridMultilevel"/>
    <w:tmpl w:val="3F7A9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C3F51"/>
    <w:multiLevelType w:val="hybridMultilevel"/>
    <w:tmpl w:val="6E40F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420D6B"/>
    <w:multiLevelType w:val="hybridMultilevel"/>
    <w:tmpl w:val="2220A698"/>
    <w:lvl w:ilvl="0" w:tplc="8496FCD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A3DBB"/>
    <w:multiLevelType w:val="hybridMultilevel"/>
    <w:tmpl w:val="E16C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2653F2"/>
    <w:multiLevelType w:val="hybridMultilevel"/>
    <w:tmpl w:val="63BE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AC6657"/>
    <w:multiLevelType w:val="hybridMultilevel"/>
    <w:tmpl w:val="A6AC8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B63C3"/>
    <w:multiLevelType w:val="hybridMultilevel"/>
    <w:tmpl w:val="078A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E4F7B"/>
    <w:multiLevelType w:val="hybridMultilevel"/>
    <w:tmpl w:val="EADC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612560"/>
    <w:multiLevelType w:val="hybridMultilevel"/>
    <w:tmpl w:val="F13E8A3E"/>
    <w:lvl w:ilvl="0" w:tplc="3DCADD36">
      <w:start w:val="14"/>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65E13"/>
    <w:multiLevelType w:val="hybridMultilevel"/>
    <w:tmpl w:val="746A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71AC5"/>
    <w:multiLevelType w:val="hybridMultilevel"/>
    <w:tmpl w:val="9FFA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F17085"/>
    <w:multiLevelType w:val="hybridMultilevel"/>
    <w:tmpl w:val="F232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56021B"/>
    <w:multiLevelType w:val="hybridMultilevel"/>
    <w:tmpl w:val="2B88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66A5C"/>
    <w:multiLevelType w:val="hybridMultilevel"/>
    <w:tmpl w:val="0512C718"/>
    <w:lvl w:ilvl="0" w:tplc="F3802D60">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E7D67"/>
    <w:multiLevelType w:val="hybridMultilevel"/>
    <w:tmpl w:val="3D14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92D9B"/>
    <w:multiLevelType w:val="hybridMultilevel"/>
    <w:tmpl w:val="1FFAF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25586"/>
    <w:multiLevelType w:val="hybridMultilevel"/>
    <w:tmpl w:val="90A0C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E75F18"/>
    <w:multiLevelType w:val="hybridMultilevel"/>
    <w:tmpl w:val="0504A91E"/>
    <w:lvl w:ilvl="0" w:tplc="D39A60E0">
      <w:start w:val="470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F77C32"/>
    <w:multiLevelType w:val="multilevel"/>
    <w:tmpl w:val="C6D44F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3836CC0"/>
    <w:multiLevelType w:val="hybridMultilevel"/>
    <w:tmpl w:val="88EC6E78"/>
    <w:lvl w:ilvl="0" w:tplc="88FA5E70">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273413"/>
    <w:multiLevelType w:val="hybridMultilevel"/>
    <w:tmpl w:val="74DE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250769"/>
    <w:multiLevelType w:val="hybridMultilevel"/>
    <w:tmpl w:val="D7160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CE5A79"/>
    <w:multiLevelType w:val="hybridMultilevel"/>
    <w:tmpl w:val="6052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E303BC"/>
    <w:multiLevelType w:val="hybridMultilevel"/>
    <w:tmpl w:val="0120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32"/>
  </w:num>
  <w:num w:numId="4">
    <w:abstractNumId w:val="28"/>
  </w:num>
  <w:num w:numId="5">
    <w:abstractNumId w:val="23"/>
  </w:num>
  <w:num w:numId="6">
    <w:abstractNumId w:val="17"/>
  </w:num>
  <w:num w:numId="7">
    <w:abstractNumId w:val="34"/>
  </w:num>
  <w:num w:numId="8">
    <w:abstractNumId w:val="30"/>
  </w:num>
  <w:num w:numId="9">
    <w:abstractNumId w:val="33"/>
  </w:num>
  <w:num w:numId="10">
    <w:abstractNumId w:val="4"/>
  </w:num>
  <w:num w:numId="11">
    <w:abstractNumId w:val="6"/>
  </w:num>
  <w:num w:numId="12">
    <w:abstractNumId w:val="14"/>
  </w:num>
  <w:num w:numId="13">
    <w:abstractNumId w:val="5"/>
  </w:num>
  <w:num w:numId="14">
    <w:abstractNumId w:val="36"/>
  </w:num>
  <w:num w:numId="15">
    <w:abstractNumId w:val="15"/>
  </w:num>
  <w:num w:numId="16">
    <w:abstractNumId w:val="20"/>
  </w:num>
  <w:num w:numId="17">
    <w:abstractNumId w:val="25"/>
  </w:num>
  <w:num w:numId="18">
    <w:abstractNumId w:val="13"/>
  </w:num>
  <w:num w:numId="19">
    <w:abstractNumId w:val="16"/>
  </w:num>
  <w:num w:numId="20">
    <w:abstractNumId w:val="35"/>
  </w:num>
  <w:num w:numId="21">
    <w:abstractNumId w:val="29"/>
  </w:num>
  <w:num w:numId="22">
    <w:abstractNumId w:val="11"/>
  </w:num>
  <w:num w:numId="23">
    <w:abstractNumId w:val="8"/>
  </w:num>
  <w:num w:numId="24">
    <w:abstractNumId w:val="37"/>
  </w:num>
  <w:num w:numId="25">
    <w:abstractNumId w:val="10"/>
  </w:num>
  <w:num w:numId="26">
    <w:abstractNumId w:val="19"/>
  </w:num>
  <w:num w:numId="27">
    <w:abstractNumId w:val="2"/>
  </w:num>
  <w:num w:numId="28">
    <w:abstractNumId w:val="21"/>
  </w:num>
  <w:num w:numId="29">
    <w:abstractNumId w:val="31"/>
  </w:num>
  <w:num w:numId="30">
    <w:abstractNumId w:val="12"/>
  </w:num>
  <w:num w:numId="31">
    <w:abstractNumId w:val="38"/>
  </w:num>
  <w:num w:numId="32">
    <w:abstractNumId w:val="0"/>
  </w:num>
  <w:num w:numId="33">
    <w:abstractNumId w:val="24"/>
  </w:num>
  <w:num w:numId="34">
    <w:abstractNumId w:val="18"/>
  </w:num>
  <w:num w:numId="35">
    <w:abstractNumId w:val="9"/>
  </w:num>
  <w:num w:numId="36">
    <w:abstractNumId w:val="26"/>
  </w:num>
  <w:num w:numId="37">
    <w:abstractNumId w:val="1"/>
  </w:num>
  <w:num w:numId="38">
    <w:abstractNumId w:val="22"/>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C2C90"/>
    <w:rsid w:val="00011E27"/>
    <w:rsid w:val="000219D8"/>
    <w:rsid w:val="00033B91"/>
    <w:rsid w:val="000342F5"/>
    <w:rsid w:val="00040949"/>
    <w:rsid w:val="000414A5"/>
    <w:rsid w:val="00043EC0"/>
    <w:rsid w:val="00066326"/>
    <w:rsid w:val="000734BE"/>
    <w:rsid w:val="000A0FCA"/>
    <w:rsid w:val="000A53B8"/>
    <w:rsid w:val="000C0DB2"/>
    <w:rsid w:val="000E1D22"/>
    <w:rsid w:val="000E4336"/>
    <w:rsid w:val="000F5FEB"/>
    <w:rsid w:val="0011187F"/>
    <w:rsid w:val="00137771"/>
    <w:rsid w:val="00146757"/>
    <w:rsid w:val="00160DBD"/>
    <w:rsid w:val="001835DB"/>
    <w:rsid w:val="00185C15"/>
    <w:rsid w:val="001E3C1C"/>
    <w:rsid w:val="00203845"/>
    <w:rsid w:val="00210181"/>
    <w:rsid w:val="00213D09"/>
    <w:rsid w:val="002301C7"/>
    <w:rsid w:val="00236517"/>
    <w:rsid w:val="002509A8"/>
    <w:rsid w:val="00253E14"/>
    <w:rsid w:val="002541BA"/>
    <w:rsid w:val="00282E1E"/>
    <w:rsid w:val="00290BB2"/>
    <w:rsid w:val="00294C5F"/>
    <w:rsid w:val="00296880"/>
    <w:rsid w:val="002B693E"/>
    <w:rsid w:val="002C79BA"/>
    <w:rsid w:val="002E6E3A"/>
    <w:rsid w:val="002F67C4"/>
    <w:rsid w:val="00385C81"/>
    <w:rsid w:val="003942CA"/>
    <w:rsid w:val="003A2C47"/>
    <w:rsid w:val="003C4810"/>
    <w:rsid w:val="003C781B"/>
    <w:rsid w:val="003E16E6"/>
    <w:rsid w:val="003F09C3"/>
    <w:rsid w:val="00441558"/>
    <w:rsid w:val="00451D0E"/>
    <w:rsid w:val="0045322A"/>
    <w:rsid w:val="00485711"/>
    <w:rsid w:val="00487D9E"/>
    <w:rsid w:val="00492EF6"/>
    <w:rsid w:val="004C1184"/>
    <w:rsid w:val="004C1CD5"/>
    <w:rsid w:val="004C567E"/>
    <w:rsid w:val="004E26C8"/>
    <w:rsid w:val="004E3EAB"/>
    <w:rsid w:val="004E4E5C"/>
    <w:rsid w:val="00545A18"/>
    <w:rsid w:val="005544F4"/>
    <w:rsid w:val="005553F5"/>
    <w:rsid w:val="00560B60"/>
    <w:rsid w:val="00573F5D"/>
    <w:rsid w:val="005761BC"/>
    <w:rsid w:val="00593F79"/>
    <w:rsid w:val="005A6C56"/>
    <w:rsid w:val="005B2111"/>
    <w:rsid w:val="005D421F"/>
    <w:rsid w:val="005D6870"/>
    <w:rsid w:val="005E0C42"/>
    <w:rsid w:val="00620A61"/>
    <w:rsid w:val="00626CBE"/>
    <w:rsid w:val="00632C37"/>
    <w:rsid w:val="00635A25"/>
    <w:rsid w:val="006435CD"/>
    <w:rsid w:val="00646944"/>
    <w:rsid w:val="00662C45"/>
    <w:rsid w:val="006E4E32"/>
    <w:rsid w:val="006F703B"/>
    <w:rsid w:val="006F7728"/>
    <w:rsid w:val="00705496"/>
    <w:rsid w:val="00707562"/>
    <w:rsid w:val="00716004"/>
    <w:rsid w:val="0072613C"/>
    <w:rsid w:val="00730002"/>
    <w:rsid w:val="007372EC"/>
    <w:rsid w:val="00741EC1"/>
    <w:rsid w:val="0076340A"/>
    <w:rsid w:val="007645C4"/>
    <w:rsid w:val="007A0857"/>
    <w:rsid w:val="007A2C78"/>
    <w:rsid w:val="007A4385"/>
    <w:rsid w:val="007B0D23"/>
    <w:rsid w:val="007B1002"/>
    <w:rsid w:val="007C2C90"/>
    <w:rsid w:val="007C3254"/>
    <w:rsid w:val="007C6796"/>
    <w:rsid w:val="007E14B2"/>
    <w:rsid w:val="007F0764"/>
    <w:rsid w:val="008046F1"/>
    <w:rsid w:val="008370D4"/>
    <w:rsid w:val="00852EE5"/>
    <w:rsid w:val="0085553D"/>
    <w:rsid w:val="00857CDE"/>
    <w:rsid w:val="008861E9"/>
    <w:rsid w:val="008B67C3"/>
    <w:rsid w:val="008C0444"/>
    <w:rsid w:val="008C799B"/>
    <w:rsid w:val="008D1BD1"/>
    <w:rsid w:val="008D5697"/>
    <w:rsid w:val="008D711A"/>
    <w:rsid w:val="008E1EAD"/>
    <w:rsid w:val="00906976"/>
    <w:rsid w:val="0093740C"/>
    <w:rsid w:val="00981EBC"/>
    <w:rsid w:val="009947E7"/>
    <w:rsid w:val="009B0612"/>
    <w:rsid w:val="009D5365"/>
    <w:rsid w:val="009E2B24"/>
    <w:rsid w:val="009F75B1"/>
    <w:rsid w:val="00A130A3"/>
    <w:rsid w:val="00A277B2"/>
    <w:rsid w:val="00A4022C"/>
    <w:rsid w:val="00A50367"/>
    <w:rsid w:val="00A73F91"/>
    <w:rsid w:val="00A861F8"/>
    <w:rsid w:val="00A87AB4"/>
    <w:rsid w:val="00A87C21"/>
    <w:rsid w:val="00A9075A"/>
    <w:rsid w:val="00AC55BB"/>
    <w:rsid w:val="00AE4C88"/>
    <w:rsid w:val="00AF2757"/>
    <w:rsid w:val="00AF7B64"/>
    <w:rsid w:val="00B401A3"/>
    <w:rsid w:val="00B54937"/>
    <w:rsid w:val="00B6217F"/>
    <w:rsid w:val="00B75D83"/>
    <w:rsid w:val="00B77B19"/>
    <w:rsid w:val="00B91FB7"/>
    <w:rsid w:val="00BA35E3"/>
    <w:rsid w:val="00BB634C"/>
    <w:rsid w:val="00BC0495"/>
    <w:rsid w:val="00BC6503"/>
    <w:rsid w:val="00BE279C"/>
    <w:rsid w:val="00BE685E"/>
    <w:rsid w:val="00BF695A"/>
    <w:rsid w:val="00C07AB7"/>
    <w:rsid w:val="00C7525A"/>
    <w:rsid w:val="00C92EE2"/>
    <w:rsid w:val="00CA7732"/>
    <w:rsid w:val="00CC280D"/>
    <w:rsid w:val="00CD6682"/>
    <w:rsid w:val="00CF600B"/>
    <w:rsid w:val="00D2476F"/>
    <w:rsid w:val="00D41CD2"/>
    <w:rsid w:val="00D47AB4"/>
    <w:rsid w:val="00D50367"/>
    <w:rsid w:val="00D76909"/>
    <w:rsid w:val="00D87CEE"/>
    <w:rsid w:val="00D97CE2"/>
    <w:rsid w:val="00DA6AA0"/>
    <w:rsid w:val="00DC360E"/>
    <w:rsid w:val="00E01114"/>
    <w:rsid w:val="00E11BE6"/>
    <w:rsid w:val="00E12A8C"/>
    <w:rsid w:val="00E16394"/>
    <w:rsid w:val="00E22F6B"/>
    <w:rsid w:val="00E25D21"/>
    <w:rsid w:val="00E42141"/>
    <w:rsid w:val="00E47715"/>
    <w:rsid w:val="00E808B5"/>
    <w:rsid w:val="00E84FE0"/>
    <w:rsid w:val="00E9229D"/>
    <w:rsid w:val="00EA2C8A"/>
    <w:rsid w:val="00EB45AB"/>
    <w:rsid w:val="00EE23A3"/>
    <w:rsid w:val="00F10BF3"/>
    <w:rsid w:val="00F33A43"/>
    <w:rsid w:val="00F436EF"/>
    <w:rsid w:val="00F55D68"/>
    <w:rsid w:val="00F97DFA"/>
    <w:rsid w:val="00FA53E2"/>
    <w:rsid w:val="00FA6F94"/>
    <w:rsid w:val="00FE1B10"/>
    <w:rsid w:val="00FF538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394ACC1D"/>
  <w15:chartTrackingRefBased/>
  <w15:docId w15:val="{93540536-3573-9240-9B8C-36812818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C9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7C2C90"/>
    <w:pPr>
      <w:jc w:val="center"/>
    </w:pPr>
    <w:rPr>
      <w:lang w:val="en-GB"/>
    </w:rPr>
  </w:style>
  <w:style w:type="character" w:customStyle="1" w:styleId="EndNoteBibliographyTitleChar">
    <w:name w:val="EndNote Bibliography Title Char"/>
    <w:basedOn w:val="DefaultParagraphFont"/>
    <w:link w:val="EndNoteBibliographyTitle"/>
    <w:rsid w:val="007C2C90"/>
    <w:rPr>
      <w:rFonts w:ascii="Times New Roman" w:eastAsia="Times New Roman" w:hAnsi="Times New Roman" w:cs="Times New Roman"/>
      <w:lang w:val="en-GB" w:eastAsia="en-GB"/>
    </w:rPr>
  </w:style>
  <w:style w:type="paragraph" w:customStyle="1" w:styleId="EndNoteBibliography">
    <w:name w:val="EndNote Bibliography"/>
    <w:basedOn w:val="Normal"/>
    <w:link w:val="EndNoteBibliographyChar"/>
    <w:rsid w:val="007C2C90"/>
    <w:rPr>
      <w:lang w:val="en-GB"/>
    </w:rPr>
  </w:style>
  <w:style w:type="character" w:customStyle="1" w:styleId="EndNoteBibliographyChar">
    <w:name w:val="EndNote Bibliography Char"/>
    <w:basedOn w:val="DefaultParagraphFont"/>
    <w:link w:val="EndNoteBibliography"/>
    <w:rsid w:val="007C2C90"/>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7C2C90"/>
    <w:rPr>
      <w:color w:val="0563C1" w:themeColor="hyperlink"/>
      <w:u w:val="single"/>
    </w:rPr>
  </w:style>
  <w:style w:type="character" w:styleId="UnresolvedMention">
    <w:name w:val="Unresolved Mention"/>
    <w:basedOn w:val="DefaultParagraphFont"/>
    <w:uiPriority w:val="99"/>
    <w:semiHidden/>
    <w:unhideWhenUsed/>
    <w:rsid w:val="007C2C90"/>
    <w:rPr>
      <w:color w:val="605E5C"/>
      <w:shd w:val="clear" w:color="auto" w:fill="E1DFDD"/>
    </w:rPr>
  </w:style>
  <w:style w:type="character" w:styleId="CommentReference">
    <w:name w:val="annotation reference"/>
    <w:basedOn w:val="DefaultParagraphFont"/>
    <w:uiPriority w:val="99"/>
    <w:semiHidden/>
    <w:unhideWhenUsed/>
    <w:rsid w:val="003C781B"/>
    <w:rPr>
      <w:sz w:val="16"/>
      <w:szCs w:val="16"/>
    </w:rPr>
  </w:style>
  <w:style w:type="paragraph" w:styleId="CommentText">
    <w:name w:val="annotation text"/>
    <w:basedOn w:val="Normal"/>
    <w:link w:val="CommentTextChar"/>
    <w:uiPriority w:val="99"/>
    <w:unhideWhenUsed/>
    <w:rsid w:val="003C781B"/>
    <w:rPr>
      <w:sz w:val="20"/>
      <w:szCs w:val="20"/>
    </w:rPr>
  </w:style>
  <w:style w:type="character" w:customStyle="1" w:styleId="CommentTextChar">
    <w:name w:val="Comment Text Char"/>
    <w:basedOn w:val="DefaultParagraphFont"/>
    <w:link w:val="CommentText"/>
    <w:uiPriority w:val="99"/>
    <w:rsid w:val="003C781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C781B"/>
    <w:rPr>
      <w:b/>
      <w:bCs/>
    </w:rPr>
  </w:style>
  <w:style w:type="character" w:customStyle="1" w:styleId="CommentSubjectChar">
    <w:name w:val="Comment Subject Char"/>
    <w:basedOn w:val="CommentTextChar"/>
    <w:link w:val="CommentSubject"/>
    <w:uiPriority w:val="99"/>
    <w:semiHidden/>
    <w:rsid w:val="003C781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C781B"/>
    <w:rPr>
      <w:sz w:val="18"/>
      <w:szCs w:val="18"/>
    </w:rPr>
  </w:style>
  <w:style w:type="character" w:customStyle="1" w:styleId="BalloonTextChar">
    <w:name w:val="Balloon Text Char"/>
    <w:basedOn w:val="DefaultParagraphFont"/>
    <w:link w:val="BalloonText"/>
    <w:uiPriority w:val="99"/>
    <w:semiHidden/>
    <w:rsid w:val="003C781B"/>
    <w:rPr>
      <w:rFonts w:ascii="Times New Roman" w:eastAsia="Times New Roman" w:hAnsi="Times New Roman" w:cs="Times New Roman"/>
      <w:sz w:val="18"/>
      <w:szCs w:val="18"/>
      <w:lang w:eastAsia="en-GB"/>
    </w:rPr>
  </w:style>
  <w:style w:type="paragraph" w:styleId="Footer">
    <w:name w:val="footer"/>
    <w:basedOn w:val="Normal"/>
    <w:link w:val="FooterChar"/>
    <w:uiPriority w:val="99"/>
    <w:unhideWhenUsed/>
    <w:rsid w:val="003C781B"/>
    <w:pPr>
      <w:tabs>
        <w:tab w:val="center" w:pos="4680"/>
        <w:tab w:val="right" w:pos="9360"/>
      </w:tabs>
    </w:pPr>
  </w:style>
  <w:style w:type="character" w:customStyle="1" w:styleId="FooterChar">
    <w:name w:val="Footer Char"/>
    <w:basedOn w:val="DefaultParagraphFont"/>
    <w:link w:val="Footer"/>
    <w:uiPriority w:val="99"/>
    <w:rsid w:val="003C781B"/>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3C781B"/>
  </w:style>
  <w:style w:type="table" w:styleId="TableGrid">
    <w:name w:val="Table Grid"/>
    <w:basedOn w:val="TableNormal"/>
    <w:uiPriority w:val="39"/>
    <w:rsid w:val="003C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781B"/>
  </w:style>
  <w:style w:type="paragraph" w:styleId="ListParagraph">
    <w:name w:val="List Paragraph"/>
    <w:basedOn w:val="Normal"/>
    <w:uiPriority w:val="34"/>
    <w:qFormat/>
    <w:rsid w:val="003C781B"/>
    <w:pPr>
      <w:ind w:left="720"/>
      <w:contextualSpacing/>
    </w:pPr>
  </w:style>
  <w:style w:type="paragraph" w:styleId="NormalWeb">
    <w:name w:val="Normal (Web)"/>
    <w:basedOn w:val="Normal"/>
    <w:uiPriority w:val="99"/>
    <w:semiHidden/>
    <w:unhideWhenUsed/>
    <w:rsid w:val="003C781B"/>
    <w:pPr>
      <w:spacing w:before="100" w:beforeAutospacing="1" w:after="100" w:afterAutospacing="1"/>
    </w:pPr>
  </w:style>
  <w:style w:type="character" w:customStyle="1" w:styleId="HeaderChar">
    <w:name w:val="Header Char"/>
    <w:basedOn w:val="DefaultParagraphFont"/>
    <w:link w:val="Header"/>
    <w:uiPriority w:val="99"/>
    <w:rsid w:val="003C781B"/>
  </w:style>
  <w:style w:type="paragraph" w:styleId="Header">
    <w:name w:val="header"/>
    <w:basedOn w:val="Normal"/>
    <w:link w:val="HeaderChar"/>
    <w:uiPriority w:val="99"/>
    <w:unhideWhenUsed/>
    <w:rsid w:val="003C781B"/>
    <w:pPr>
      <w:tabs>
        <w:tab w:val="center" w:pos="4680"/>
        <w:tab w:val="right" w:pos="9360"/>
      </w:tabs>
    </w:pPr>
    <w:rPr>
      <w:rFonts w:asciiTheme="minorHAnsi" w:eastAsiaTheme="minorHAnsi" w:hAnsiTheme="minorHAnsi" w:cstheme="minorBidi"/>
      <w:lang w:eastAsia="en-US"/>
    </w:rPr>
  </w:style>
  <w:style w:type="character" w:customStyle="1" w:styleId="HeaderChar1">
    <w:name w:val="Header Char1"/>
    <w:basedOn w:val="DefaultParagraphFont"/>
    <w:uiPriority w:val="99"/>
    <w:semiHidden/>
    <w:rsid w:val="003C781B"/>
    <w:rPr>
      <w:rFonts w:ascii="Times New Roman" w:eastAsia="Times New Roman" w:hAnsi="Times New Roman" w:cs="Times New Roman"/>
      <w:lang w:eastAsia="en-GB"/>
    </w:rPr>
  </w:style>
  <w:style w:type="character" w:styleId="HTMLCode">
    <w:name w:val="HTML Code"/>
    <w:basedOn w:val="DefaultParagraphFont"/>
    <w:uiPriority w:val="99"/>
    <w:semiHidden/>
    <w:unhideWhenUsed/>
    <w:rsid w:val="003C781B"/>
    <w:rPr>
      <w:rFonts w:ascii="Courier New" w:eastAsia="Times New Roman" w:hAnsi="Courier New" w:cs="Courier New"/>
      <w:sz w:val="20"/>
      <w:szCs w:val="20"/>
    </w:rPr>
  </w:style>
  <w:style w:type="character" w:customStyle="1" w:styleId="apple-converted-space">
    <w:name w:val="apple-converted-space"/>
    <w:basedOn w:val="DefaultParagraphFont"/>
    <w:rsid w:val="003C781B"/>
  </w:style>
  <w:style w:type="character" w:styleId="Strong">
    <w:name w:val="Strong"/>
    <w:basedOn w:val="DefaultParagraphFont"/>
    <w:uiPriority w:val="22"/>
    <w:qFormat/>
    <w:rsid w:val="003C781B"/>
    <w:rPr>
      <w:b/>
      <w:bCs/>
    </w:rPr>
  </w:style>
  <w:style w:type="character" w:styleId="LineNumber">
    <w:name w:val="line number"/>
    <w:basedOn w:val="DefaultParagraphFont"/>
    <w:uiPriority w:val="99"/>
    <w:semiHidden/>
    <w:unhideWhenUsed/>
    <w:rsid w:val="003C7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11</Pages>
  <Words>1820</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Merriman</dc:creator>
  <cp:keywords/>
  <dc:description/>
  <cp:lastModifiedBy>Merriman, Tony Raymond (Campus)</cp:lastModifiedBy>
  <cp:revision>24</cp:revision>
  <dcterms:created xsi:type="dcterms:W3CDTF">2020-07-21T04:05:00Z</dcterms:created>
  <dcterms:modified xsi:type="dcterms:W3CDTF">2021-02-19T15:40:00Z</dcterms:modified>
</cp:coreProperties>
</file>