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horzAnchor="margin" w:tblpXSpec="center" w:tblpY="-898"/>
        <w:tblW w:w="16297" w:type="dxa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283"/>
        <w:gridCol w:w="851"/>
        <w:gridCol w:w="708"/>
        <w:gridCol w:w="709"/>
        <w:gridCol w:w="567"/>
        <w:gridCol w:w="284"/>
        <w:gridCol w:w="567"/>
        <w:gridCol w:w="708"/>
        <w:gridCol w:w="851"/>
        <w:gridCol w:w="567"/>
        <w:gridCol w:w="1134"/>
        <w:gridCol w:w="850"/>
        <w:gridCol w:w="851"/>
        <w:gridCol w:w="992"/>
        <w:gridCol w:w="709"/>
        <w:gridCol w:w="567"/>
        <w:gridCol w:w="850"/>
        <w:gridCol w:w="851"/>
        <w:gridCol w:w="709"/>
        <w:gridCol w:w="850"/>
        <w:gridCol w:w="851"/>
      </w:tblGrid>
      <w:tr w:rsidR="00793CEA" w:rsidRPr="000D187C" w:rsidTr="001142C2">
        <w:trPr>
          <w:trHeight w:val="274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426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283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5812" w:type="dxa"/>
            <w:gridSpan w:val="9"/>
            <w:noWrap/>
            <w:hideMark/>
          </w:tcPr>
          <w:p w:rsidR="00FD6BAF" w:rsidRPr="00FD6BAF" w:rsidRDefault="00FD6BAF" w:rsidP="00FD6BA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D6B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Clinical manifestation</w:t>
            </w:r>
          </w:p>
        </w:tc>
        <w:tc>
          <w:tcPr>
            <w:tcW w:w="4536" w:type="dxa"/>
            <w:gridSpan w:val="5"/>
            <w:noWrap/>
            <w:hideMark/>
          </w:tcPr>
          <w:p w:rsidR="00FD6BAF" w:rsidRPr="00FD6BAF" w:rsidRDefault="00FD6BAF" w:rsidP="00FD6BA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D6B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Japanese Ministry of Health, </w:t>
            </w:r>
            <w:proofErr w:type="spellStart"/>
            <w:r w:rsidRPr="00FD6B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Labour</w:t>
            </w:r>
            <w:proofErr w:type="spellEnd"/>
            <w:r w:rsidRPr="00FD6B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and Welfare criteria</w:t>
            </w:r>
          </w:p>
        </w:tc>
        <w:tc>
          <w:tcPr>
            <w:tcW w:w="4678" w:type="dxa"/>
            <w:gridSpan w:val="6"/>
            <w:noWrap/>
            <w:hideMark/>
          </w:tcPr>
          <w:p w:rsidR="00FD6BAF" w:rsidRPr="00FD6BAF" w:rsidRDefault="00FD6BAF" w:rsidP="00FD6BA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D6BA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American College of Rheumatology criteria</w:t>
            </w:r>
          </w:p>
        </w:tc>
      </w:tr>
      <w:tr w:rsidR="001142C2" w:rsidRPr="000D187C" w:rsidTr="001142C2">
        <w:trPr>
          <w:trHeight w:val="1135"/>
        </w:trPr>
        <w:tc>
          <w:tcPr>
            <w:tcW w:w="562" w:type="dxa"/>
            <w:hideMark/>
          </w:tcPr>
          <w:p w:rsidR="00FD6BAF" w:rsidRPr="00856A99" w:rsidRDefault="00FD6BAF" w:rsidP="00FD6BAF">
            <w:pPr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Case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No.</w:t>
            </w:r>
          </w:p>
        </w:tc>
        <w:tc>
          <w:tcPr>
            <w:tcW w:w="426" w:type="dxa"/>
            <w:noWrap/>
            <w:hideMark/>
          </w:tcPr>
          <w:p w:rsidR="00FD6BAF" w:rsidRPr="00856A99" w:rsidRDefault="00FD6BAF" w:rsidP="00FD6BAF">
            <w:pPr>
              <w:jc w:val="left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age</w:t>
            </w:r>
          </w:p>
        </w:tc>
        <w:tc>
          <w:tcPr>
            <w:tcW w:w="283" w:type="dxa"/>
            <w:noWrap/>
            <w:hideMark/>
          </w:tcPr>
          <w:p w:rsidR="00FD6BAF" w:rsidRPr="001142C2" w:rsidRDefault="00FD6BAF" w:rsidP="00FD6BAF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1142C2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851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Asthma with eosinophilia</w:t>
            </w:r>
          </w:p>
        </w:tc>
        <w:tc>
          <w:tcPr>
            <w:tcW w:w="708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General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symptoms</w:t>
            </w:r>
          </w:p>
        </w:tc>
        <w:tc>
          <w:tcPr>
            <w:tcW w:w="709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Nervous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system</w:t>
            </w:r>
          </w:p>
        </w:tc>
        <w:tc>
          <w:tcPr>
            <w:tcW w:w="567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Lung</w:t>
            </w:r>
          </w:p>
        </w:tc>
        <w:tc>
          <w:tcPr>
            <w:tcW w:w="284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ENT</w:t>
            </w:r>
          </w:p>
        </w:tc>
        <w:tc>
          <w:tcPr>
            <w:tcW w:w="567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Heart</w:t>
            </w:r>
          </w:p>
        </w:tc>
        <w:tc>
          <w:tcPr>
            <w:tcW w:w="708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Palpable purpura</w:t>
            </w:r>
          </w:p>
        </w:tc>
        <w:tc>
          <w:tcPr>
            <w:tcW w:w="851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Abdominal</w:t>
            </w:r>
          </w:p>
        </w:tc>
        <w:tc>
          <w:tcPr>
            <w:tcW w:w="567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ANCA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positive status</w:t>
            </w:r>
          </w:p>
        </w:tc>
        <w:tc>
          <w:tcPr>
            <w:tcW w:w="1134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(A)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Bronchial asthma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or Allergic Rhinitis</w:t>
            </w:r>
          </w:p>
        </w:tc>
        <w:tc>
          <w:tcPr>
            <w:tcW w:w="850" w:type="dxa"/>
            <w:noWrap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(B)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Hyper-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eosinophilia</w:t>
            </w:r>
          </w:p>
        </w:tc>
        <w:tc>
          <w:tcPr>
            <w:tcW w:w="851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(C)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Symptoms of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vasculitis</w:t>
            </w:r>
          </w:p>
        </w:tc>
        <w:tc>
          <w:tcPr>
            <w:tcW w:w="992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(D) Characteristic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clinical progress</w:t>
            </w:r>
          </w:p>
        </w:tc>
        <w:tc>
          <w:tcPr>
            <w:tcW w:w="709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(E)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Biopsy findings</w:t>
            </w:r>
          </w:p>
        </w:tc>
        <w:tc>
          <w:tcPr>
            <w:tcW w:w="567" w:type="dxa"/>
            <w:noWrap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(A)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asthma</w:t>
            </w:r>
          </w:p>
        </w:tc>
        <w:tc>
          <w:tcPr>
            <w:tcW w:w="850" w:type="dxa"/>
            <w:noWrap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(B)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Hyper-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eosinophilia</w:t>
            </w:r>
          </w:p>
        </w:tc>
        <w:tc>
          <w:tcPr>
            <w:tcW w:w="851" w:type="dxa"/>
            <w:noWrap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(C)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Mono-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neuropathy</w:t>
            </w:r>
          </w:p>
        </w:tc>
        <w:tc>
          <w:tcPr>
            <w:tcW w:w="709" w:type="dxa"/>
            <w:noWrap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(D)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Lung infiltration</w:t>
            </w:r>
          </w:p>
        </w:tc>
        <w:tc>
          <w:tcPr>
            <w:tcW w:w="850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(E)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Paranasal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abnormalities</w:t>
            </w:r>
          </w:p>
        </w:tc>
        <w:tc>
          <w:tcPr>
            <w:tcW w:w="851" w:type="dxa"/>
            <w:hideMark/>
          </w:tcPr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>(F)</w:t>
            </w:r>
          </w:p>
          <w:p w:rsidR="00FD6BAF" w:rsidRPr="00856A99" w:rsidRDefault="00FD6BAF" w:rsidP="00FD6BAF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856A99">
              <w:rPr>
                <w:rFonts w:ascii="Times New Roman" w:hAnsi="Times New Roman" w:cs="Times New Roman"/>
                <w:sz w:val="11"/>
                <w:szCs w:val="11"/>
              </w:rPr>
              <w:t xml:space="preserve">Eosinophilic </w:t>
            </w:r>
            <w:r w:rsidRPr="00856A99">
              <w:rPr>
                <w:rFonts w:ascii="Times New Roman" w:hAnsi="Times New Roman" w:cs="Times New Roman"/>
                <w:sz w:val="11"/>
                <w:szCs w:val="11"/>
              </w:rPr>
              <w:br/>
              <w:t>infiltration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51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58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56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74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42C2" w:rsidRPr="000D187C" w:rsidTr="001142C2">
        <w:trPr>
          <w:trHeight w:val="255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M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42C2" w:rsidRPr="000D187C" w:rsidTr="001142C2">
        <w:trPr>
          <w:trHeight w:val="162"/>
        </w:trPr>
        <w:tc>
          <w:tcPr>
            <w:tcW w:w="56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hideMark/>
          </w:tcPr>
          <w:p w:rsidR="00FD6BAF" w:rsidRPr="001142C2" w:rsidRDefault="00FD6BAF" w:rsidP="00FD6BA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1142C2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283" w:type="dxa"/>
            <w:hideMark/>
          </w:tcPr>
          <w:p w:rsidR="00FD6BAF" w:rsidRPr="001142C2" w:rsidRDefault="00FD6BAF" w:rsidP="001142C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42C2">
              <w:rPr>
                <w:rFonts w:ascii="Times New Roman" w:hAnsi="Times New Roman" w:cs="Times New Roman"/>
                <w:sz w:val="15"/>
                <w:szCs w:val="15"/>
              </w:rPr>
              <w:t>F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851" w:type="dxa"/>
            <w:noWrap/>
            <w:hideMark/>
          </w:tcPr>
          <w:p w:rsidR="00FD6BAF" w:rsidRPr="000D187C" w:rsidRDefault="00FD6BAF" w:rsidP="00FD6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187C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:rsidR="001F6CE6" w:rsidRDefault="00793CEA" w:rsidP="00FD6BAF">
      <w:r>
        <w:rPr>
          <w:rFonts w:ascii="Times New Roman" w:eastAsia="ＭＳ Ｐ明朝" w:hAnsi="Times New Roman" w:cs="Times New Roman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-1069749</wp:posOffset>
                </wp:positionH>
                <wp:positionV relativeFrom="paragraph">
                  <wp:posOffset>4695787</wp:posOffset>
                </wp:positionV>
                <wp:extent cx="9795850" cy="923453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5850" cy="923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3CEA" w:rsidRPr="00E80F5D" w:rsidRDefault="00222A5A" w:rsidP="00793CEA">
                            <w:pPr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="00A54400"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u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pple</w:t>
                            </w:r>
                            <w:r w:rsidR="00793CEA"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mentary Table 1. Clinical manifestations, Japanese Ministry of Health, Labor and Welfare criteria items and</w:t>
                            </w:r>
                            <w:r w:rsidRPr="00E80F5D">
                              <w:rPr>
                                <w:rFonts w:ascii="Times New Roman" w:hAnsi="Times New Roman" w:cs="Times New Roman"/>
                                <w:shd w:val="pct15" w:color="auto" w:fill="FFFFFF"/>
                              </w:rPr>
                              <w:t xml:space="preserve"> </w:t>
                            </w:r>
                            <w:r w:rsidR="00793CEA"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classification criteria of the American College of Rheumatology </w:t>
                            </w:r>
                            <w:r w:rsidR="00793CEA" w:rsidRPr="00E80F5D">
                              <w:rPr>
                                <w:rFonts w:ascii="Times New Roman" w:eastAsia="ＭＳ Ｐ明朝" w:hAnsi="Times New Roman" w:cs="Times New Roman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="00793CEA" w:rsidRPr="00E80F5D">
                              <w:rPr>
                                <w:rFonts w:ascii="Times New Roman" w:eastAsia="ＭＳ Ｐ明朝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riteria at diagnosis</w:t>
                            </w:r>
                          </w:p>
                          <w:p w:rsidR="00793CEA" w:rsidRPr="00E80F5D" w:rsidRDefault="00793CEA" w:rsidP="00793CEA">
                            <w:pPr>
                              <w:rPr>
                                <w:rFonts w:ascii="Times New Roman" w:eastAsia="ＭＳ Ｐ明朝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>Japanese Ministry of Health, Labor and Welfare criteria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>：①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 (A)+(B)+(C)+(D), 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>②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(A)+(B)+(C)+(E) 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>①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or 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>②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 xml:space="preserve"> definite, American College of Rheumatology criteria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 w:hint="eastAsia"/>
                                <w:bCs/>
                                <w:sz w:val="16"/>
                                <w:szCs w:val="16"/>
                              </w:rPr>
                              <w:t>：</w:t>
                            </w: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bCs/>
                                <w:sz w:val="16"/>
                                <w:szCs w:val="16"/>
                              </w:rPr>
                              <w:t>4/6 items definite</w:t>
                            </w:r>
                          </w:p>
                          <w:p w:rsidR="00793CEA" w:rsidRDefault="00793CEA" w:rsidP="00793CEA">
                            <w:pPr>
                              <w:rPr>
                                <w:rFonts w:ascii="Times New Roman" w:eastAsia="ＭＳ Ｐ明朝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80F5D">
                              <w:rPr>
                                <w:rFonts w:ascii="Times New Roman" w:eastAsia="ＭＳ Ｐ明朝" w:hAnsi="Times New Roman" w:cs="Times New Roman"/>
                                <w:sz w:val="16"/>
                                <w:szCs w:val="16"/>
                              </w:rPr>
                              <w:t>ENT; Ear, Nose, Throat</w:t>
                            </w:r>
                          </w:p>
                          <w:p w:rsidR="00793CEA" w:rsidRDefault="00793C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84.25pt;margin-top:369.75pt;width:771.35pt;height:72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" fillcolor="white [3201]" stroked="f" strokeweight=".5pt">
                <v:textbox>
                  <w:txbxContent>
                    <w:p w:rsidR="00793CEA" w:rsidRPr="00E80F5D" w:rsidRDefault="00222A5A" w:rsidP="00793CEA">
                      <w:pPr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="00A54400"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>u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>pple</w:t>
                      </w:r>
                      <w:r w:rsidR="00793CEA"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>mentary Table 1. Clinical manifestations, Japanese Ministry of Health, Labor and Welfare criteria items and</w:t>
                      </w:r>
                      <w:r w:rsidRPr="00E80F5D">
                        <w:rPr>
                          <w:rFonts w:ascii="Times New Roman" w:hAnsi="Times New Roman" w:cs="Times New Roman"/>
                          <w:shd w:val="pct15" w:color="auto" w:fill="FFFFFF"/>
                        </w:rPr>
                        <w:t xml:space="preserve"> </w:t>
                      </w:r>
                      <w:r w:rsidR="00793CEA"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classification criteria of the American College of Rheumatology </w:t>
                      </w:r>
                      <w:r w:rsidR="00793CEA" w:rsidRPr="00E80F5D">
                        <w:rPr>
                          <w:rFonts w:ascii="Times New Roman" w:eastAsia="ＭＳ Ｐ明朝" w:hAnsi="Times New Roman" w:cs="Times New Roman" w:hint="eastAsia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="00793CEA" w:rsidRPr="00E80F5D">
                        <w:rPr>
                          <w:rFonts w:ascii="Times New Roman" w:eastAsia="ＭＳ Ｐ明朝" w:hAnsi="Times New Roman" w:cs="Times New Roman"/>
                          <w:b/>
                          <w:bCs/>
                          <w:sz w:val="16"/>
                          <w:szCs w:val="16"/>
                        </w:rPr>
                        <w:t>riteria at diagnosis</w:t>
                      </w:r>
                    </w:p>
                    <w:p w:rsidR="00793CEA" w:rsidRPr="00E80F5D" w:rsidRDefault="00793CEA" w:rsidP="00793CEA">
                      <w:pPr>
                        <w:rPr>
                          <w:rFonts w:ascii="Times New Roman" w:eastAsia="ＭＳ Ｐ明朝" w:hAnsi="Times New Roman" w:cs="Times New Roman"/>
                          <w:sz w:val="16"/>
                          <w:szCs w:val="16"/>
                        </w:rPr>
                      </w:pP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>Japanese Ministry of Health, Labor and Welfare criteria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>：①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 xml:space="preserve"> (A)+(B)+(C)+(D), 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>②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 xml:space="preserve">(A)+(B)+(C)+(E) 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>①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 xml:space="preserve">or 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>②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 xml:space="preserve"> definite, American College of Rheumatology criteria</w:t>
                      </w:r>
                      <w:r w:rsidRPr="00E80F5D">
                        <w:rPr>
                          <w:rFonts w:ascii="Times New Roman" w:eastAsia="ＭＳ Ｐ明朝" w:hAnsi="Times New Roman" w:cs="Times New Roman" w:hint="eastAsia"/>
                          <w:bCs/>
                          <w:sz w:val="16"/>
                          <w:szCs w:val="16"/>
                        </w:rPr>
                        <w:t>：</w:t>
                      </w:r>
                      <w:r w:rsidRPr="00E80F5D">
                        <w:rPr>
                          <w:rFonts w:ascii="Times New Roman" w:eastAsia="ＭＳ Ｐ明朝" w:hAnsi="Times New Roman" w:cs="Times New Roman"/>
                          <w:bCs/>
                          <w:sz w:val="16"/>
                          <w:szCs w:val="16"/>
                        </w:rPr>
                        <w:t>4/6 items definite</w:t>
                      </w:r>
                    </w:p>
                    <w:p w:rsidR="00793CEA" w:rsidRDefault="00793CEA" w:rsidP="00793CEA">
                      <w:pPr>
                        <w:rPr>
                          <w:rFonts w:ascii="Times New Roman" w:eastAsia="ＭＳ Ｐ明朝" w:hAnsi="Times New Roman" w:cs="Times New Roman"/>
                          <w:sz w:val="16"/>
                          <w:szCs w:val="16"/>
                        </w:rPr>
                      </w:pPr>
                      <w:r w:rsidRPr="00E80F5D">
                        <w:rPr>
                          <w:rFonts w:ascii="Times New Roman" w:eastAsia="ＭＳ Ｐ明朝" w:hAnsi="Times New Roman" w:cs="Times New Roman"/>
                          <w:sz w:val="16"/>
                          <w:szCs w:val="16"/>
                        </w:rPr>
                        <w:t>ENT; Ear, Nose, Throat</w:t>
                      </w:r>
                    </w:p>
                    <w:p w:rsidR="00793CEA" w:rsidRDefault="00793CEA"/>
                  </w:txbxContent>
                </v:textbox>
              </v:shape>
            </w:pict>
          </mc:Fallback>
        </mc:AlternateContent>
      </w:r>
    </w:p>
    <w:sectPr w:rsidR="001F6CE6" w:rsidSect="00FD6BAF">
      <w:pgSz w:w="1684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988" w:rsidRDefault="007A0988" w:rsidP="00FD6BAF">
      <w:r>
        <w:separator/>
      </w:r>
    </w:p>
  </w:endnote>
  <w:endnote w:type="continuationSeparator" w:id="0">
    <w:p w:rsidR="007A0988" w:rsidRDefault="007A0988" w:rsidP="00FD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988" w:rsidRDefault="007A0988" w:rsidP="00FD6BAF">
      <w:r>
        <w:separator/>
      </w:r>
    </w:p>
  </w:footnote>
  <w:footnote w:type="continuationSeparator" w:id="0">
    <w:p w:rsidR="007A0988" w:rsidRDefault="007A0988" w:rsidP="00FD6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AF"/>
    <w:rsid w:val="00016950"/>
    <w:rsid w:val="001142C2"/>
    <w:rsid w:val="001F6CE6"/>
    <w:rsid w:val="00222A5A"/>
    <w:rsid w:val="005A1516"/>
    <w:rsid w:val="00673D20"/>
    <w:rsid w:val="00793CEA"/>
    <w:rsid w:val="007A0988"/>
    <w:rsid w:val="007F7E37"/>
    <w:rsid w:val="008E056C"/>
    <w:rsid w:val="009A7AB3"/>
    <w:rsid w:val="00A54400"/>
    <w:rsid w:val="00BC55E2"/>
    <w:rsid w:val="00BF4E35"/>
    <w:rsid w:val="00D2720B"/>
    <w:rsid w:val="00E80F5D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FE395"/>
  <w14:defaultImageDpi w14:val="32767"/>
  <w15:chartTrackingRefBased/>
  <w15:docId w15:val="{A3579066-6AEA-4C47-A7C4-86AA70D5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D6B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BAF"/>
  </w:style>
  <w:style w:type="paragraph" w:styleId="a6">
    <w:name w:val="footer"/>
    <w:basedOn w:val="a"/>
    <w:link w:val="a7"/>
    <w:uiPriority w:val="99"/>
    <w:unhideWhenUsed/>
    <w:rsid w:val="00FD6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匡庸 上野</dc:creator>
  <cp:keywords/>
  <dc:description/>
  <cp:lastModifiedBy>匡庸 上野</cp:lastModifiedBy>
  <cp:revision>2</cp:revision>
  <dcterms:created xsi:type="dcterms:W3CDTF">2021-02-11T04:27:00Z</dcterms:created>
  <dcterms:modified xsi:type="dcterms:W3CDTF">2021-02-11T04:27:00Z</dcterms:modified>
</cp:coreProperties>
</file>