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409" w:rsidRPr="00123D0F" w:rsidRDefault="00123D0F">
      <w:pPr>
        <w:rPr>
          <w:b/>
        </w:rPr>
      </w:pPr>
      <w:r>
        <w:rPr>
          <w:rFonts w:ascii="Arial" w:hAnsi="Arial" w:cs="Arial"/>
          <w:b/>
        </w:rPr>
        <w:t xml:space="preserve">Additional File 2: </w:t>
      </w:r>
      <w:r w:rsidRPr="00123D0F">
        <w:rPr>
          <w:rFonts w:ascii="Arial" w:hAnsi="Arial" w:cs="Arial"/>
          <w:b/>
        </w:rPr>
        <w:t>LL-CFA/I treatment augments IL-10 production and diminishes IFN-γ and IL-17.</w:t>
      </w:r>
    </w:p>
    <w:p w:rsidR="00123D0F" w:rsidRDefault="00123D0F" w:rsidP="00130D09">
      <w:pPr>
        <w:spacing w:line="240" w:lineRule="auto"/>
        <w:jc w:val="both"/>
        <w:rPr>
          <w:rFonts w:ascii="Arial" w:hAnsi="Arial" w:cs="Arial"/>
          <w:b/>
          <w:bCs/>
          <w:color w:val="0000FF"/>
        </w:rPr>
      </w:pPr>
      <w:r w:rsidRPr="00130D09">
        <w:drawing>
          <wp:inline distT="0" distB="0" distL="0" distR="0" wp14:anchorId="0C92FC91" wp14:editId="7DEFECA9">
            <wp:extent cx="4818705" cy="54318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76" cy="543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0F" w:rsidRDefault="00130D09" w:rsidP="00130D09">
      <w:pPr>
        <w:spacing w:line="240" w:lineRule="auto"/>
        <w:jc w:val="both"/>
        <w:rPr>
          <w:rFonts w:ascii="Arial" w:hAnsi="Arial" w:cs="Arial"/>
        </w:rPr>
      </w:pPr>
      <w:r w:rsidRPr="00123D0F">
        <w:rPr>
          <w:rFonts w:ascii="Arial" w:hAnsi="Arial" w:cs="Arial"/>
          <w:b/>
          <w:bCs/>
        </w:rPr>
        <w:t>Additional File 2</w:t>
      </w:r>
      <w:r w:rsidR="00123D0F">
        <w:rPr>
          <w:rFonts w:ascii="Arial" w:hAnsi="Arial" w:cs="Arial"/>
          <w:b/>
          <w:bCs/>
        </w:rPr>
        <w:t>:</w:t>
      </w:r>
      <w:r w:rsidRPr="00130D09">
        <w:rPr>
          <w:rFonts w:ascii="Arial" w:hAnsi="Arial" w:cs="Arial"/>
        </w:rPr>
        <w:t xml:space="preserve"> </w:t>
      </w:r>
    </w:p>
    <w:p w:rsidR="00130D09" w:rsidRPr="00130D09" w:rsidRDefault="00130D09" w:rsidP="00123D0F">
      <w:pPr>
        <w:spacing w:line="240" w:lineRule="auto"/>
        <w:jc w:val="both"/>
        <w:rPr>
          <w:rFonts w:ascii="Arial" w:hAnsi="Arial" w:cs="Arial"/>
        </w:rPr>
      </w:pPr>
      <w:r w:rsidRPr="00130D09">
        <w:rPr>
          <w:rFonts w:ascii="Arial" w:hAnsi="Arial" w:cs="Arial"/>
        </w:rPr>
        <w:t>Splenic, MLN, and HNLN lymphocytes were stimulated with anti-CD3 plus anti-CD28 monoclonal antibodies (</w:t>
      </w:r>
      <w:proofErr w:type="spellStart"/>
      <w:r w:rsidRPr="00130D09">
        <w:rPr>
          <w:rFonts w:ascii="Arial" w:hAnsi="Arial" w:cs="Arial"/>
        </w:rPr>
        <w:t>mAbs</w:t>
      </w:r>
      <w:proofErr w:type="spellEnd"/>
      <w:r w:rsidRPr="00130D09">
        <w:rPr>
          <w:rFonts w:ascii="Arial" w:hAnsi="Arial" w:cs="Arial"/>
        </w:rPr>
        <w:t xml:space="preserve">) for 4 days.  Collected culture supernatants were analyzed for production of (A) IFN-γ, IL-17, and IL-10. Depicted are the means ± SEM of duplicate cultures from individual mice; *P &lt; 0.05, **P &lt; 0.01 for LL-CFA/I versus LL vector or PBS groups. (B) mRNA analysis of Th1, Th17, and </w:t>
      </w:r>
      <w:proofErr w:type="spellStart"/>
      <w:r w:rsidRPr="00130D09">
        <w:rPr>
          <w:rFonts w:ascii="Arial" w:hAnsi="Arial" w:cs="Arial"/>
        </w:rPr>
        <w:t>Treg</w:t>
      </w:r>
      <w:proofErr w:type="spellEnd"/>
      <w:r w:rsidRPr="00130D09">
        <w:rPr>
          <w:rFonts w:ascii="Arial" w:hAnsi="Arial" w:cs="Arial"/>
        </w:rPr>
        <w:t xml:space="preserve"> cells subsets was conducted. RNA extracted from 2-day anti-CD3 plus anti-CD28 </w:t>
      </w:r>
      <w:proofErr w:type="spellStart"/>
      <w:r w:rsidRPr="00130D09">
        <w:rPr>
          <w:rFonts w:ascii="Arial" w:hAnsi="Arial" w:cs="Arial"/>
        </w:rPr>
        <w:t>mAb</w:t>
      </w:r>
      <w:proofErr w:type="spellEnd"/>
      <w:r w:rsidRPr="00130D09">
        <w:rPr>
          <w:rFonts w:ascii="Arial" w:hAnsi="Arial" w:cs="Arial"/>
        </w:rPr>
        <w:t>-stimulated MLN lymphocytes from PBS-, medium dose LL vector (</w:t>
      </w:r>
      <w:proofErr w:type="spellStart"/>
      <w:r w:rsidRPr="00130D09">
        <w:rPr>
          <w:rFonts w:ascii="Arial" w:hAnsi="Arial" w:cs="Arial"/>
        </w:rPr>
        <w:t>Vec</w:t>
      </w:r>
      <w:proofErr w:type="spellEnd"/>
      <w:r w:rsidRPr="00130D09">
        <w:rPr>
          <w:rFonts w:ascii="Arial" w:hAnsi="Arial" w:cs="Arial"/>
        </w:rPr>
        <w:t xml:space="preserve">.) and LL-CFA/I-treated groups (4 mice/group) were analyzed by QRT-PCR for  </w:t>
      </w:r>
      <w:r w:rsidRPr="00130D09">
        <w:rPr>
          <w:rFonts w:ascii="Arial" w:hAnsi="Arial" w:cs="Arial"/>
          <w:b/>
          <w:bCs/>
        </w:rPr>
        <w:t>Th1</w:t>
      </w:r>
      <w:r w:rsidRPr="00130D09">
        <w:rPr>
          <w:rFonts w:ascii="Arial" w:hAnsi="Arial" w:cs="Arial"/>
        </w:rPr>
        <w:t xml:space="preserve">: T-bet, IFN-γ  and TNFα; </w:t>
      </w:r>
      <w:r w:rsidRPr="00130D09">
        <w:rPr>
          <w:rFonts w:ascii="Arial" w:hAnsi="Arial" w:cs="Arial"/>
          <w:b/>
          <w:bCs/>
        </w:rPr>
        <w:t>Th17</w:t>
      </w:r>
      <w:r w:rsidRPr="00130D09">
        <w:rPr>
          <w:rFonts w:ascii="Arial" w:hAnsi="Arial" w:cs="Arial"/>
        </w:rPr>
        <w:t xml:space="preserve">: </w:t>
      </w:r>
      <w:proofErr w:type="spellStart"/>
      <w:r w:rsidRPr="00130D09">
        <w:rPr>
          <w:rFonts w:ascii="Arial" w:hAnsi="Arial" w:cs="Arial"/>
        </w:rPr>
        <w:t>Rorγt</w:t>
      </w:r>
      <w:proofErr w:type="spellEnd"/>
      <w:r w:rsidRPr="00130D09">
        <w:rPr>
          <w:rFonts w:ascii="Arial" w:hAnsi="Arial" w:cs="Arial"/>
        </w:rPr>
        <w:t xml:space="preserve"> and IL-17; and </w:t>
      </w:r>
      <w:proofErr w:type="spellStart"/>
      <w:r w:rsidRPr="00130D09">
        <w:rPr>
          <w:rFonts w:ascii="Arial" w:hAnsi="Arial" w:cs="Arial"/>
          <w:b/>
          <w:bCs/>
        </w:rPr>
        <w:t>Tregs</w:t>
      </w:r>
      <w:proofErr w:type="spellEnd"/>
      <w:r w:rsidRPr="00130D09">
        <w:rPr>
          <w:rFonts w:ascii="Arial" w:hAnsi="Arial" w:cs="Arial"/>
        </w:rPr>
        <w:t xml:space="preserve">: Foxp3, TGF-β, and IL-10 mRNA expression. Fold changes versus expression obtained by lymphocytes from the PBS group are depicted. Significance was determined using a one-way ANOVA test followed by Tukey post-correction test for multiple comparisons:  *P &lt; 0.05, **P &lt; 0.01 compared to LL vector-treated group. </w:t>
      </w:r>
      <w:bookmarkStart w:id="0" w:name="_GoBack"/>
      <w:bookmarkEnd w:id="0"/>
    </w:p>
    <w:sectPr w:rsidR="00130D09" w:rsidRPr="00130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09"/>
    <w:rsid w:val="00123D0F"/>
    <w:rsid w:val="00130D09"/>
    <w:rsid w:val="002D11C4"/>
    <w:rsid w:val="002E28A1"/>
    <w:rsid w:val="008F6254"/>
    <w:rsid w:val="00B7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79AC"/>
  <w15:chartTrackingRefBased/>
  <w15:docId w15:val="{6B13FBC1-5E8B-4CD5-BC1A-218383C0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0D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Pascual,David W.</dc:creator>
  <cp:keywords/>
  <dc:description/>
  <cp:lastModifiedBy>Pascual,David W.</cp:lastModifiedBy>
  <cp:revision>2</cp:revision>
  <dcterms:created xsi:type="dcterms:W3CDTF">2021-01-13T17:24:00Z</dcterms:created>
  <dcterms:modified xsi:type="dcterms:W3CDTF">2021-01-13T17:32:00Z</dcterms:modified>
</cp:coreProperties>
</file>