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46763" w14:textId="30F66A03" w:rsidR="00544A2F" w:rsidRPr="00715800" w:rsidRDefault="00544A2F">
      <w:pPr>
        <w:rPr>
          <w:b/>
          <w:bCs/>
          <w:lang w:val="en-US"/>
        </w:rPr>
      </w:pPr>
      <w:r w:rsidRPr="00715800">
        <w:rPr>
          <w:b/>
          <w:bCs/>
          <w:lang w:val="en-US"/>
        </w:rPr>
        <w:t>Supplementary Figure 1. Flow-chart of the phone call interview</w:t>
      </w:r>
      <w:r w:rsidR="00715800">
        <w:rPr>
          <w:b/>
          <w:bCs/>
          <w:lang w:val="en-US"/>
        </w:rPr>
        <w:t>.</w:t>
      </w:r>
    </w:p>
    <w:p w14:paraId="4E391500" w14:textId="77777777" w:rsidR="00544A2F" w:rsidRPr="00544A2F" w:rsidRDefault="00544A2F">
      <w:pPr>
        <w:rPr>
          <w:lang w:val="en-US"/>
        </w:rPr>
      </w:pPr>
    </w:p>
    <w:p w14:paraId="1362F018" w14:textId="77777777" w:rsidR="00544A2F" w:rsidRPr="00544A2F" w:rsidRDefault="00544A2F">
      <w:pPr>
        <w:rPr>
          <w:lang w:val="en-US"/>
        </w:rPr>
      </w:pPr>
    </w:p>
    <w:p w14:paraId="3256B71C" w14:textId="39514580" w:rsidR="00544A2F" w:rsidRPr="00544A2F" w:rsidRDefault="00544A2F">
      <w:pPr>
        <w:rPr>
          <w:lang w:val="en-US"/>
        </w:rPr>
      </w:pPr>
      <w:r w:rsidRPr="00544A2F">
        <w:rPr>
          <w:noProof/>
        </w:rPr>
        <w:drawing>
          <wp:inline distT="0" distB="0" distL="0" distR="0" wp14:anchorId="7DE40F4C" wp14:editId="33EE446E">
            <wp:extent cx="6116320" cy="4380865"/>
            <wp:effectExtent l="0" t="0" r="5080" b="63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438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74675" w14:textId="2139F20F" w:rsidR="00425C91" w:rsidRDefault="00046DA6"/>
    <w:p w14:paraId="5CDE324A" w14:textId="533C1746" w:rsidR="00544A2F" w:rsidRDefault="00544A2F"/>
    <w:p w14:paraId="6AC46049" w14:textId="755A16CB" w:rsidR="00544A2F" w:rsidRPr="00544A2F" w:rsidRDefault="00544A2F" w:rsidP="00544A2F">
      <w:pPr>
        <w:rPr>
          <w:lang w:val="en-US"/>
        </w:rPr>
      </w:pPr>
      <w:r w:rsidRPr="00544A2F">
        <w:rPr>
          <w:lang w:val="en-US"/>
        </w:rPr>
        <w:t>The list of symptoms recor</w:t>
      </w:r>
      <w:r>
        <w:rPr>
          <w:lang w:val="en-US"/>
        </w:rPr>
        <w:t>d</w:t>
      </w:r>
      <w:r w:rsidRPr="00544A2F">
        <w:rPr>
          <w:lang w:val="en-US"/>
        </w:rPr>
        <w:t>ed af</w:t>
      </w:r>
      <w:r>
        <w:rPr>
          <w:lang w:val="en-US"/>
        </w:rPr>
        <w:t xml:space="preserve">ter both doses </w:t>
      </w:r>
      <w:r w:rsidR="00392DE6">
        <w:rPr>
          <w:lang w:val="en-US"/>
        </w:rPr>
        <w:t>includes</w:t>
      </w:r>
      <w:r>
        <w:rPr>
          <w:lang w:val="en-US"/>
        </w:rPr>
        <w:t xml:space="preserve"> </w:t>
      </w:r>
      <w:r w:rsidRPr="00544A2F">
        <w:rPr>
          <w:rFonts w:cstheme="minorHAnsi"/>
          <w:lang w:val="en-US"/>
        </w:rPr>
        <w:t>local reactogenicity</w:t>
      </w:r>
      <w:r>
        <w:rPr>
          <w:lang w:val="en-US"/>
        </w:rPr>
        <w:t xml:space="preserve">, </w:t>
      </w:r>
      <w:r w:rsidRPr="00544A2F">
        <w:rPr>
          <w:rFonts w:cstheme="minorHAnsi"/>
          <w:lang w:val="en-US"/>
        </w:rPr>
        <w:t>arthrom</w:t>
      </w:r>
      <w:r>
        <w:rPr>
          <w:rFonts w:cstheme="minorHAnsi"/>
          <w:lang w:val="en-US"/>
        </w:rPr>
        <w:t>y</w:t>
      </w:r>
      <w:r w:rsidRPr="00544A2F">
        <w:rPr>
          <w:rFonts w:cstheme="minorHAnsi"/>
          <w:lang w:val="en-US"/>
        </w:rPr>
        <w:t>algia</w:t>
      </w:r>
      <w:r>
        <w:rPr>
          <w:lang w:val="en-US"/>
        </w:rPr>
        <w:t xml:space="preserve">, </w:t>
      </w:r>
      <w:r w:rsidRPr="00544A2F">
        <w:rPr>
          <w:rFonts w:cstheme="minorHAnsi"/>
          <w:lang w:val="en-US"/>
        </w:rPr>
        <w:t>malaise</w:t>
      </w:r>
      <w:r>
        <w:rPr>
          <w:lang w:val="en-US"/>
        </w:rPr>
        <w:t xml:space="preserve">, </w:t>
      </w:r>
      <w:r w:rsidRPr="00544A2F">
        <w:rPr>
          <w:rFonts w:cstheme="minorHAnsi"/>
          <w:lang w:val="en-US"/>
        </w:rPr>
        <w:t>fever</w:t>
      </w:r>
      <w:r>
        <w:rPr>
          <w:lang w:val="en-US"/>
        </w:rPr>
        <w:t xml:space="preserve">, </w:t>
      </w:r>
      <w:r>
        <w:rPr>
          <w:rFonts w:cstheme="minorHAnsi"/>
          <w:lang w:val="en-US"/>
        </w:rPr>
        <w:t>l</w:t>
      </w:r>
      <w:r w:rsidRPr="00544A2F">
        <w:rPr>
          <w:rFonts w:cstheme="minorHAnsi"/>
          <w:lang w:val="en-US"/>
        </w:rPr>
        <w:t>ymphadenitis</w:t>
      </w:r>
      <w:r>
        <w:rPr>
          <w:rFonts w:cstheme="minorHAnsi"/>
          <w:lang w:val="en-US"/>
        </w:rPr>
        <w:t>, other.</w:t>
      </w:r>
    </w:p>
    <w:p w14:paraId="30898842" w14:textId="44F87F8A" w:rsidR="00544A2F" w:rsidRDefault="00544A2F" w:rsidP="00544A2F">
      <w:pPr>
        <w:rPr>
          <w:lang w:val="en-US"/>
        </w:rPr>
      </w:pPr>
    </w:p>
    <w:p w14:paraId="0C41AC66" w14:textId="4E7F81AC" w:rsidR="00CD2C45" w:rsidRDefault="00CD2C45" w:rsidP="00544A2F">
      <w:pPr>
        <w:rPr>
          <w:lang w:val="en-US"/>
        </w:rPr>
      </w:pPr>
    </w:p>
    <w:p w14:paraId="0C9E7B4E" w14:textId="36ED0E51" w:rsidR="00CD2C45" w:rsidRDefault="00CD2C45" w:rsidP="00544A2F">
      <w:pPr>
        <w:rPr>
          <w:lang w:val="en-US"/>
        </w:rPr>
      </w:pPr>
    </w:p>
    <w:p w14:paraId="3F4B0EFF" w14:textId="3D8B10BF" w:rsidR="00CD2C45" w:rsidRDefault="00CD2C45" w:rsidP="00544A2F">
      <w:pPr>
        <w:rPr>
          <w:lang w:val="en-US"/>
        </w:rPr>
      </w:pPr>
    </w:p>
    <w:p w14:paraId="1B0E4D80" w14:textId="0EBFE060" w:rsidR="00CD2C45" w:rsidRDefault="00CD2C45" w:rsidP="00544A2F">
      <w:pPr>
        <w:rPr>
          <w:lang w:val="en-US"/>
        </w:rPr>
      </w:pPr>
    </w:p>
    <w:p w14:paraId="720F712E" w14:textId="5575D54A" w:rsidR="00CD2C45" w:rsidRDefault="00CD2C45" w:rsidP="00544A2F">
      <w:pPr>
        <w:rPr>
          <w:lang w:val="en-US"/>
        </w:rPr>
      </w:pPr>
    </w:p>
    <w:p w14:paraId="24846129" w14:textId="05901D3E" w:rsidR="00CD2C45" w:rsidRDefault="00CD2C45" w:rsidP="00544A2F">
      <w:pPr>
        <w:rPr>
          <w:lang w:val="en-US"/>
        </w:rPr>
      </w:pPr>
    </w:p>
    <w:p w14:paraId="04BE819C" w14:textId="1B7EE5FC" w:rsidR="00CD2C45" w:rsidRDefault="00CD2C45" w:rsidP="00544A2F">
      <w:pPr>
        <w:rPr>
          <w:lang w:val="en-US"/>
        </w:rPr>
      </w:pPr>
    </w:p>
    <w:p w14:paraId="6E49C3BE" w14:textId="1EE75001" w:rsidR="00CD2C45" w:rsidRDefault="00CD2C45" w:rsidP="00544A2F">
      <w:pPr>
        <w:rPr>
          <w:lang w:val="en-US"/>
        </w:rPr>
      </w:pPr>
    </w:p>
    <w:p w14:paraId="2AF4F322" w14:textId="12201EBE" w:rsidR="00CD2C45" w:rsidRDefault="00CD2C45" w:rsidP="00544A2F">
      <w:pPr>
        <w:rPr>
          <w:lang w:val="en-US"/>
        </w:rPr>
      </w:pPr>
    </w:p>
    <w:p w14:paraId="75482C1F" w14:textId="6CD19DF1" w:rsidR="00CD2C45" w:rsidRDefault="00CD2C45" w:rsidP="00544A2F">
      <w:pPr>
        <w:rPr>
          <w:lang w:val="en-US"/>
        </w:rPr>
      </w:pPr>
    </w:p>
    <w:p w14:paraId="40A509FB" w14:textId="167CBD86" w:rsidR="00CD2C45" w:rsidRDefault="00CD2C45" w:rsidP="00544A2F">
      <w:pPr>
        <w:rPr>
          <w:lang w:val="en-US"/>
        </w:rPr>
      </w:pPr>
    </w:p>
    <w:p w14:paraId="4A7F8144" w14:textId="188EE167" w:rsidR="00CD2C45" w:rsidRDefault="00CD2C45" w:rsidP="00544A2F">
      <w:pPr>
        <w:rPr>
          <w:lang w:val="en-US"/>
        </w:rPr>
      </w:pPr>
    </w:p>
    <w:p w14:paraId="3C69DBC6" w14:textId="44210CFA" w:rsidR="00CD2C45" w:rsidRDefault="00CD2C45" w:rsidP="00544A2F">
      <w:pPr>
        <w:rPr>
          <w:lang w:val="en-US"/>
        </w:rPr>
      </w:pPr>
    </w:p>
    <w:p w14:paraId="42FBA8B0" w14:textId="4B8347EC" w:rsidR="00CD2C45" w:rsidRDefault="00CD2C45" w:rsidP="00544A2F">
      <w:pPr>
        <w:rPr>
          <w:lang w:val="en-US"/>
        </w:rPr>
      </w:pPr>
    </w:p>
    <w:p w14:paraId="066AF65D" w14:textId="507A0827" w:rsidR="00CD2C45" w:rsidRDefault="00CD2C45" w:rsidP="00544A2F">
      <w:pPr>
        <w:rPr>
          <w:lang w:val="en-US"/>
        </w:rPr>
      </w:pPr>
    </w:p>
    <w:p w14:paraId="7497AD1C" w14:textId="79D90F6B" w:rsidR="00CD2C45" w:rsidRDefault="00CD2C45" w:rsidP="00544A2F">
      <w:pPr>
        <w:rPr>
          <w:lang w:val="en-US"/>
        </w:rPr>
      </w:pPr>
    </w:p>
    <w:p w14:paraId="17316CA4" w14:textId="5E21914A" w:rsidR="00CD2C45" w:rsidRDefault="00CD2C45" w:rsidP="00544A2F">
      <w:pPr>
        <w:rPr>
          <w:lang w:val="en-US"/>
        </w:rPr>
      </w:pPr>
    </w:p>
    <w:p w14:paraId="48CFA930" w14:textId="4ECCFD5B" w:rsidR="00CD2C45" w:rsidRPr="00CD2C45" w:rsidRDefault="00CD2C45" w:rsidP="00544A2F">
      <w:pPr>
        <w:rPr>
          <w:b/>
          <w:bCs/>
          <w:lang w:val="en-US"/>
        </w:rPr>
      </w:pPr>
      <w:r w:rsidRPr="00CD2C45">
        <w:rPr>
          <w:b/>
          <w:bCs/>
          <w:lang w:val="en-US"/>
        </w:rPr>
        <w:lastRenderedPageBreak/>
        <w:t>Supplementary Figure 2.</w:t>
      </w:r>
      <w:r w:rsidR="00715800">
        <w:rPr>
          <w:b/>
          <w:bCs/>
          <w:lang w:val="en-US"/>
        </w:rPr>
        <w:t xml:space="preserve"> Multivariable logistic regression analysis showing age- and sex-adjusted risk of systemic adverse events after I and II dose of vaccination in patients and controls.</w:t>
      </w:r>
    </w:p>
    <w:p w14:paraId="330DE590" w14:textId="52D857BE" w:rsidR="005459A7" w:rsidRDefault="005459A7" w:rsidP="00544A2F">
      <w:pPr>
        <w:rPr>
          <w:lang w:val="en-US"/>
        </w:rPr>
      </w:pPr>
    </w:p>
    <w:p w14:paraId="1E02374A" w14:textId="05A13BDC" w:rsidR="00715800" w:rsidRDefault="00715800">
      <w:pPr>
        <w:rPr>
          <w:sz w:val="20"/>
          <w:szCs w:val="20"/>
          <w:lang w:val="en-US"/>
        </w:rPr>
      </w:pPr>
      <w:r w:rsidRPr="00715800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allowOverlap="1" wp14:anchorId="4E8B7D11" wp14:editId="74201A5A">
            <wp:simplePos x="0" y="0"/>
            <wp:positionH relativeFrom="column">
              <wp:posOffset>-369</wp:posOffset>
            </wp:positionH>
            <wp:positionV relativeFrom="paragraph">
              <wp:posOffset>1905</wp:posOffset>
            </wp:positionV>
            <wp:extent cx="6116320" cy="4644937"/>
            <wp:effectExtent l="0" t="0" r="0" b="0"/>
            <wp:wrapSquare wrapText="bothSides"/>
            <wp:docPr id="4" name="Immagine 4" descr="Immagine che contiene testo, screenshot, monitor, divers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Immagine che contiene testo, screenshot, monitor, divers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4644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44D1B76" w14:textId="77777777" w:rsidR="00715800" w:rsidRDefault="00715800">
      <w:pPr>
        <w:rPr>
          <w:sz w:val="20"/>
          <w:szCs w:val="20"/>
          <w:lang w:val="en-US"/>
        </w:rPr>
      </w:pPr>
    </w:p>
    <w:p w14:paraId="46EDC0D0" w14:textId="7A828B49" w:rsidR="005459A7" w:rsidRDefault="00715800">
      <w:pPr>
        <w:rPr>
          <w:lang w:val="en-US"/>
        </w:rPr>
      </w:pPr>
      <w:r>
        <w:rPr>
          <w:sz w:val="20"/>
          <w:szCs w:val="20"/>
          <w:lang w:val="en-US"/>
        </w:rPr>
        <w:t>RMD = rheumatic musculoskeletal disease, HC = healthy controls.</w:t>
      </w:r>
      <w:r w:rsidR="005459A7">
        <w:rPr>
          <w:lang w:val="en-US"/>
        </w:rPr>
        <w:br w:type="page"/>
      </w:r>
    </w:p>
    <w:p w14:paraId="7A40F237" w14:textId="6FB2D8E2" w:rsidR="005459A7" w:rsidRDefault="005459A7" w:rsidP="00544A2F">
      <w:pPr>
        <w:rPr>
          <w:b/>
          <w:bCs/>
          <w:lang w:val="en-US"/>
        </w:rPr>
      </w:pPr>
      <w:r w:rsidRPr="005459A7">
        <w:rPr>
          <w:b/>
          <w:bCs/>
          <w:lang w:val="en-US"/>
        </w:rPr>
        <w:lastRenderedPageBreak/>
        <w:t>Supplementary Figure 3.</w:t>
      </w:r>
      <w:r w:rsidR="00DE5E52">
        <w:rPr>
          <w:b/>
          <w:bCs/>
          <w:lang w:val="en-US"/>
        </w:rPr>
        <w:t xml:space="preserve"> Occurrence of </w:t>
      </w:r>
      <w:bookmarkStart w:id="0" w:name="_Hlk84695137"/>
      <w:r w:rsidR="00DE5E52">
        <w:rPr>
          <w:b/>
          <w:bCs/>
          <w:lang w:val="en-US"/>
        </w:rPr>
        <w:t xml:space="preserve">adverse events following immunization </w:t>
      </w:r>
      <w:bookmarkEnd w:id="0"/>
      <w:r w:rsidR="00DE5E52">
        <w:rPr>
          <w:b/>
          <w:bCs/>
          <w:lang w:val="en-US"/>
        </w:rPr>
        <w:t>according to age and sex in patients and controls.</w:t>
      </w:r>
    </w:p>
    <w:p w14:paraId="07296AF4" w14:textId="5AF8D64D" w:rsidR="005459A7" w:rsidRDefault="005459A7" w:rsidP="00544A2F">
      <w:pPr>
        <w:rPr>
          <w:b/>
          <w:bCs/>
          <w:lang w:val="en-US"/>
        </w:rPr>
      </w:pPr>
    </w:p>
    <w:p w14:paraId="174222A4" w14:textId="6F791F4D" w:rsidR="005459A7" w:rsidRDefault="00584286" w:rsidP="00544A2F">
      <w:pPr>
        <w:rPr>
          <w:b/>
          <w:bCs/>
          <w:noProof/>
          <w:lang w:val="en-US"/>
        </w:rPr>
      </w:pPr>
      <w:r w:rsidRPr="00584286">
        <w:rPr>
          <w:b/>
          <w:bCs/>
          <w:noProof/>
        </w:rPr>
        <w:drawing>
          <wp:inline distT="0" distB="0" distL="0" distR="0" wp14:anchorId="14B2D01A" wp14:editId="591625B0">
            <wp:extent cx="6659676" cy="1512117"/>
            <wp:effectExtent l="0" t="0" r="0" b="0"/>
            <wp:docPr id="52" name="Immagine 51">
              <a:extLst xmlns:a="http://schemas.openxmlformats.org/drawingml/2006/main">
                <a:ext uri="{FF2B5EF4-FFF2-40B4-BE49-F238E27FC236}">
                  <a16:creationId xmlns:a16="http://schemas.microsoft.com/office/drawing/2014/main" id="{74AD4423-A704-419C-B23F-60DB5BB3A3C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magine 51">
                      <a:extLst>
                        <a:ext uri="{FF2B5EF4-FFF2-40B4-BE49-F238E27FC236}">
                          <a16:creationId xmlns:a16="http://schemas.microsoft.com/office/drawing/2014/main" id="{74AD4423-A704-419C-B23F-60DB5BB3A3C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80374" cy="1516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9EF4C" w14:textId="331E2FEB" w:rsidR="00DE5E52" w:rsidRPr="00DE5E52" w:rsidRDefault="00DE5E52" w:rsidP="00DE5E52">
      <w:pPr>
        <w:rPr>
          <w:lang w:val="en-US"/>
        </w:rPr>
      </w:pPr>
    </w:p>
    <w:p w14:paraId="28212736" w14:textId="4A605E33" w:rsidR="00DE5E52" w:rsidRPr="00DE5E52" w:rsidRDefault="00094F38" w:rsidP="00DE5E52">
      <w:pPr>
        <w:rPr>
          <w:lang w:val="en-US"/>
        </w:rPr>
      </w:pPr>
      <w:r w:rsidRPr="00094F38">
        <w:drawing>
          <wp:inline distT="0" distB="0" distL="0" distR="0" wp14:anchorId="6E0A97B3" wp14:editId="57FE8DF8">
            <wp:extent cx="6116320" cy="3211195"/>
            <wp:effectExtent l="0" t="0" r="0" b="8255"/>
            <wp:docPr id="7" name="Immagine 6">
              <a:extLst xmlns:a="http://schemas.openxmlformats.org/drawingml/2006/main">
                <a:ext uri="{FF2B5EF4-FFF2-40B4-BE49-F238E27FC236}">
                  <a16:creationId xmlns:a16="http://schemas.microsoft.com/office/drawing/2014/main" id="{FCB29F40-BF14-4509-9527-BE0854F5BCE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6">
                      <a:extLst>
                        <a:ext uri="{FF2B5EF4-FFF2-40B4-BE49-F238E27FC236}">
                          <a16:creationId xmlns:a16="http://schemas.microsoft.com/office/drawing/2014/main" id="{FCB29F40-BF14-4509-9527-BE0854F5BCE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21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064E7" w14:textId="678BA8C3" w:rsidR="00DE5E52" w:rsidRDefault="00DE5E52" w:rsidP="00DE5E52">
      <w:pPr>
        <w:rPr>
          <w:b/>
          <w:bCs/>
          <w:noProof/>
          <w:lang w:val="en-US"/>
        </w:rPr>
      </w:pPr>
    </w:p>
    <w:p w14:paraId="73D63F8A" w14:textId="3517A1F0" w:rsidR="00DE5E52" w:rsidRDefault="00DE5E52" w:rsidP="00DE5E52">
      <w:pPr>
        <w:tabs>
          <w:tab w:val="left" w:pos="1944"/>
        </w:tabs>
        <w:rPr>
          <w:lang w:val="en-US"/>
        </w:rPr>
      </w:pPr>
      <w:r w:rsidRPr="00DE5E52">
        <w:rPr>
          <w:lang w:val="en-US"/>
        </w:rPr>
        <w:t>Panel A and panel B represent the interaction model including age and sex in RMD patients (A) and healthy controls (B).</w:t>
      </w:r>
      <w:r>
        <w:rPr>
          <w:lang w:val="en-US"/>
        </w:rPr>
        <w:t xml:space="preserve"> Panel C summarizes the proportion of male and female patients and controls complaining of local and systemic reaction, according to age strata.</w:t>
      </w:r>
    </w:p>
    <w:p w14:paraId="66AC3479" w14:textId="6F3249B1" w:rsidR="00DE5E52" w:rsidRDefault="00046DA6">
      <w:pPr>
        <w:rPr>
          <w:lang w:val="en-US"/>
        </w:rPr>
      </w:pPr>
      <w:r>
        <w:rPr>
          <w:sz w:val="20"/>
          <w:szCs w:val="20"/>
          <w:lang w:val="en-US"/>
        </w:rPr>
        <w:t xml:space="preserve">AEFI = </w:t>
      </w:r>
      <w:r w:rsidRPr="00046DA6">
        <w:rPr>
          <w:sz w:val="20"/>
          <w:szCs w:val="20"/>
          <w:lang w:val="en-US"/>
        </w:rPr>
        <w:t>adverse events following immunization</w:t>
      </w:r>
      <w:r>
        <w:rPr>
          <w:sz w:val="20"/>
          <w:szCs w:val="20"/>
          <w:lang w:val="en-US"/>
        </w:rPr>
        <w:t>, RMD = rhematic musculoskeletal diseases, HC = healthy controls</w:t>
      </w:r>
      <w:r w:rsidR="00DE5E52">
        <w:rPr>
          <w:lang w:val="en-US"/>
        </w:rPr>
        <w:br w:type="page"/>
      </w:r>
    </w:p>
    <w:p w14:paraId="5605BC5A" w14:textId="2B931DF5" w:rsidR="00DE5E52" w:rsidRDefault="00DE5E52" w:rsidP="00DE5E52">
      <w:pPr>
        <w:tabs>
          <w:tab w:val="left" w:pos="1944"/>
        </w:tabs>
        <w:rPr>
          <w:b/>
          <w:bCs/>
          <w:lang w:val="en-US"/>
        </w:rPr>
      </w:pPr>
      <w:r w:rsidRPr="00DE5E52">
        <w:rPr>
          <w:b/>
          <w:bCs/>
          <w:lang w:val="en-US"/>
        </w:rPr>
        <w:lastRenderedPageBreak/>
        <w:t>Figure 4.</w:t>
      </w:r>
      <w:r w:rsidR="00C3407E">
        <w:rPr>
          <w:b/>
          <w:bCs/>
          <w:lang w:val="en-US"/>
        </w:rPr>
        <w:t xml:space="preserve"> Risk of adverse events following immunization in RMD patients according to ongoing treatment, previous SARS-C</w:t>
      </w:r>
      <w:r w:rsidR="00584286">
        <w:rPr>
          <w:b/>
          <w:bCs/>
          <w:lang w:val="en-US"/>
        </w:rPr>
        <w:t>o</w:t>
      </w:r>
      <w:r w:rsidR="00C3407E">
        <w:rPr>
          <w:b/>
          <w:bCs/>
          <w:lang w:val="en-US"/>
        </w:rPr>
        <w:t>V2 infection and treatment withdrawal prior to vaccination.</w:t>
      </w:r>
    </w:p>
    <w:p w14:paraId="770C0D3F" w14:textId="77777777" w:rsidR="00C3407E" w:rsidRDefault="00C3407E" w:rsidP="00DE5E52">
      <w:pPr>
        <w:tabs>
          <w:tab w:val="left" w:pos="1944"/>
        </w:tabs>
        <w:rPr>
          <w:b/>
          <w:bCs/>
          <w:lang w:val="en-US"/>
        </w:rPr>
      </w:pPr>
    </w:p>
    <w:p w14:paraId="6997894F" w14:textId="79E15CBF" w:rsidR="00DE5E52" w:rsidRDefault="00584286" w:rsidP="00DE5E52">
      <w:pPr>
        <w:tabs>
          <w:tab w:val="left" w:pos="1944"/>
        </w:tabs>
        <w:rPr>
          <w:b/>
          <w:bCs/>
          <w:lang w:val="en-US"/>
        </w:rPr>
      </w:pPr>
      <w:r w:rsidRPr="00584286">
        <w:rPr>
          <w:b/>
          <w:bCs/>
        </w:rPr>
        <w:drawing>
          <wp:inline distT="0" distB="0" distL="0" distR="0" wp14:anchorId="55B001FF" wp14:editId="02F826F3">
            <wp:extent cx="6116320" cy="3861435"/>
            <wp:effectExtent l="0" t="0" r="0" b="5715"/>
            <wp:docPr id="5" name="Immagine 4">
              <a:extLst xmlns:a="http://schemas.openxmlformats.org/drawingml/2006/main">
                <a:ext uri="{FF2B5EF4-FFF2-40B4-BE49-F238E27FC236}">
                  <a16:creationId xmlns:a16="http://schemas.microsoft.com/office/drawing/2014/main" id="{16B5AAA7-E4D7-4265-A59B-E0DD3F149F4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4">
                      <a:extLst>
                        <a:ext uri="{FF2B5EF4-FFF2-40B4-BE49-F238E27FC236}">
                          <a16:creationId xmlns:a16="http://schemas.microsoft.com/office/drawing/2014/main" id="{16B5AAA7-E4D7-4265-A59B-E0DD3F149F4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86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693A1" w14:textId="77777777" w:rsidR="00584286" w:rsidRDefault="00584286" w:rsidP="00DE5E52">
      <w:pPr>
        <w:tabs>
          <w:tab w:val="left" w:pos="1944"/>
        </w:tabs>
        <w:rPr>
          <w:sz w:val="20"/>
          <w:szCs w:val="20"/>
          <w:lang w:val="en-US"/>
        </w:rPr>
      </w:pPr>
    </w:p>
    <w:p w14:paraId="0FFF7493" w14:textId="483819F0" w:rsidR="00584286" w:rsidRPr="00584286" w:rsidRDefault="00584286" w:rsidP="00DE5E52">
      <w:pPr>
        <w:tabs>
          <w:tab w:val="left" w:pos="1944"/>
        </w:tabs>
        <w:rPr>
          <w:sz w:val="20"/>
          <w:szCs w:val="20"/>
          <w:lang w:val="en-US"/>
        </w:rPr>
      </w:pPr>
      <w:r w:rsidRPr="00584286">
        <w:rPr>
          <w:sz w:val="20"/>
          <w:szCs w:val="20"/>
          <w:lang w:val="en-US"/>
        </w:rPr>
        <w:t>RMD</w:t>
      </w:r>
      <w:r>
        <w:rPr>
          <w:sz w:val="20"/>
          <w:szCs w:val="20"/>
          <w:lang w:val="en-US"/>
        </w:rPr>
        <w:t xml:space="preserve"> = rheumatic musculoskeletal diseases, GC = glucocorticoids, csDMARDs = conventional synthetic anti-rheumatic drugs, bDMARDs = biological </w:t>
      </w:r>
      <w:r>
        <w:rPr>
          <w:sz w:val="20"/>
          <w:szCs w:val="20"/>
          <w:lang w:val="en-US"/>
        </w:rPr>
        <w:t>anti-rheumatic drugs</w:t>
      </w:r>
    </w:p>
    <w:sectPr w:rsidR="00584286" w:rsidRPr="00584286" w:rsidSect="004744F1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3E3DED"/>
    <w:multiLevelType w:val="hybridMultilevel"/>
    <w:tmpl w:val="EF2C1158"/>
    <w:lvl w:ilvl="0" w:tplc="CAB667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28A4BB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DEAF6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272D2C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86474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3853E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102095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200A1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E43DE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3E755BB4"/>
    <w:multiLevelType w:val="hybridMultilevel"/>
    <w:tmpl w:val="9370CA7E"/>
    <w:lvl w:ilvl="0" w:tplc="FBDA65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1DCDB4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1434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DE763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E642C1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84B3D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C8A5A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CD62A3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7E833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68E720B8"/>
    <w:multiLevelType w:val="hybridMultilevel"/>
    <w:tmpl w:val="4B48750E"/>
    <w:lvl w:ilvl="0" w:tplc="5AD8998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A2F"/>
    <w:rsid w:val="00046DA6"/>
    <w:rsid w:val="00063D03"/>
    <w:rsid w:val="00094F38"/>
    <w:rsid w:val="00392DE6"/>
    <w:rsid w:val="004744F1"/>
    <w:rsid w:val="00544A2F"/>
    <w:rsid w:val="005459A7"/>
    <w:rsid w:val="005601FE"/>
    <w:rsid w:val="00584286"/>
    <w:rsid w:val="00715800"/>
    <w:rsid w:val="00C3407E"/>
    <w:rsid w:val="00CD2C45"/>
    <w:rsid w:val="00DE5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37CD5"/>
  <w15:chartTrackingRefBased/>
  <w15:docId w15:val="{294A5946-74C6-2E4F-A4DD-1B17BEC7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44A2F"/>
    <w:pPr>
      <w:ind w:left="720"/>
      <w:contextualSpacing/>
    </w:pPr>
    <w:rPr>
      <w:rFonts w:ascii="Times New Roman" w:eastAsiaTheme="minorEastAsia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1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Garufi</dc:creator>
  <cp:keywords/>
  <dc:description/>
  <cp:lastModifiedBy>Francesca Romana Spinelli</cp:lastModifiedBy>
  <cp:revision>6</cp:revision>
  <dcterms:created xsi:type="dcterms:W3CDTF">2021-10-09T13:42:00Z</dcterms:created>
  <dcterms:modified xsi:type="dcterms:W3CDTF">2021-10-09T16:05:00Z</dcterms:modified>
</cp:coreProperties>
</file>