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E2" w:rsidRPr="00BF56AC" w:rsidRDefault="00DA16E2" w:rsidP="00DA16E2">
      <w:r>
        <w:rPr>
          <w:b/>
          <w:bCs/>
        </w:rPr>
        <w:t xml:space="preserve">Supplementary </w:t>
      </w:r>
      <w:r w:rsidRPr="007F1530">
        <w:rPr>
          <w:b/>
          <w:bCs/>
        </w:rPr>
        <w:t xml:space="preserve">Table </w:t>
      </w:r>
      <w:r>
        <w:rPr>
          <w:b/>
          <w:bCs/>
        </w:rPr>
        <w:t>S1</w:t>
      </w:r>
      <w:r>
        <w:t xml:space="preserve"> – Associations of SLE unmet need definitions with organ damage accrual, adjusted for other potential confounding factors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8"/>
        <w:gridCol w:w="2191"/>
        <w:gridCol w:w="2191"/>
        <w:gridCol w:w="2306"/>
      </w:tblGrid>
      <w:tr w:rsidR="00DA16E2" w:rsidRPr="00DA16E2" w:rsidTr="00DA16E2">
        <w:trPr>
          <w:trHeight w:val="433"/>
        </w:trPr>
        <w:tc>
          <w:tcPr>
            <w:tcW w:w="1508" w:type="pct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LLDAS-never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 xml:space="preserve">AMS&gt;4 </w:t>
            </w:r>
          </w:p>
        </w:tc>
        <w:tc>
          <w:tcPr>
            <w:tcW w:w="120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 xml:space="preserve"> HDAS-ever</w:t>
            </w:r>
          </w:p>
        </w:tc>
      </w:tr>
      <w:tr w:rsidR="00DA16E2" w:rsidRPr="00DA16E2" w:rsidTr="00DA16E2">
        <w:trPr>
          <w:trHeight w:val="422"/>
        </w:trPr>
        <w:tc>
          <w:tcPr>
            <w:tcW w:w="1508" w:type="pct"/>
            <w:shd w:val="clear" w:color="auto" w:fill="F2F2F2" w:themeFill="background1" w:themeFillShade="F2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144" w:type="pct"/>
            <w:shd w:val="clear" w:color="auto" w:fill="F2F2F2" w:themeFill="background1" w:themeFillShade="F2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HR (95% CI), p-value</w:t>
            </w:r>
          </w:p>
        </w:tc>
        <w:tc>
          <w:tcPr>
            <w:tcW w:w="1144" w:type="pct"/>
            <w:shd w:val="clear" w:color="auto" w:fill="F2F2F2" w:themeFill="background1" w:themeFillShade="F2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HR (95% CI), p-value</w:t>
            </w:r>
          </w:p>
        </w:tc>
        <w:tc>
          <w:tcPr>
            <w:tcW w:w="1204" w:type="pct"/>
            <w:shd w:val="clear" w:color="auto" w:fill="F2F2F2" w:themeFill="background1" w:themeFillShade="F2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HR (95% CI), p-value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Damage accrual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1.46 (1.26,1.69), p&lt;0.001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1.36 (1.16,1.59), p&lt;0.001</w:t>
            </w:r>
          </w:p>
        </w:tc>
        <w:tc>
          <w:tcPr>
            <w:tcW w:w="120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6E2">
              <w:rPr>
                <w:rFonts w:ascii="Times New Roman" w:hAnsi="Times New Roman" w:cs="Times New Roman"/>
                <w:b/>
                <w:bCs/>
              </w:rPr>
              <w:t>1.81 (1.43,2.30), p&lt;0.001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Age at routine visit (years)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1.02 (1.01,1.03), p&lt;0.001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1.02 (1.01,1.03), p&lt;0.001</w:t>
            </w:r>
          </w:p>
        </w:tc>
        <w:tc>
          <w:tcPr>
            <w:tcW w:w="120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1.02 (1.01,1.03), p&lt;0.001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Disease duration (years)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1.01 (1.00,1.02), p=0.084</w:t>
            </w:r>
          </w:p>
        </w:tc>
        <w:tc>
          <w:tcPr>
            <w:tcW w:w="114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1.01 (1.00,1.02), p=0.071</w:t>
            </w:r>
          </w:p>
        </w:tc>
        <w:tc>
          <w:tcPr>
            <w:tcW w:w="1204" w:type="pct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1.01 (1.00,1.02), p=0.044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Asian ethnicity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0.60 (0.50,0.73), p&lt;0.001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0.61 (0.50,0.74), p&lt;0.001</w:t>
            </w:r>
          </w:p>
        </w:tc>
        <w:tc>
          <w:tcPr>
            <w:tcW w:w="120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0.61 (0.50,0.74), p&lt;0.001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Tertiary education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0.86 (0.73,1.01), p=0.058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0.86 (0.74,1.01), p=0.069</w:t>
            </w:r>
          </w:p>
        </w:tc>
        <w:tc>
          <w:tcPr>
            <w:tcW w:w="120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0.87 (0.74,1.02), p=0.082</w:t>
            </w:r>
          </w:p>
        </w:tc>
      </w:tr>
      <w:tr w:rsidR="00DA16E2" w:rsidRPr="00DA16E2" w:rsidTr="00DA16E2">
        <w:trPr>
          <w:trHeight w:val="515"/>
        </w:trPr>
        <w:tc>
          <w:tcPr>
            <w:tcW w:w="1508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Cumulative PNL exposure (g)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1.04 (1.02,1.05), p&lt;0.001</w:t>
            </w:r>
          </w:p>
        </w:tc>
        <w:tc>
          <w:tcPr>
            <w:tcW w:w="114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1.03 (1.02,1.05), p&lt;0.001</w:t>
            </w:r>
          </w:p>
        </w:tc>
        <w:tc>
          <w:tcPr>
            <w:tcW w:w="1204" w:type="pct"/>
            <w:shd w:val="clear" w:color="auto" w:fill="auto"/>
          </w:tcPr>
          <w:p w:rsidR="00DA16E2" w:rsidRPr="00DA16E2" w:rsidRDefault="00DA16E2" w:rsidP="0052336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A16E2">
              <w:rPr>
                <w:rFonts w:ascii="Times New Roman" w:hAnsi="Times New Roman" w:cs="Times New Roman"/>
              </w:rPr>
              <w:t>1.03 (1.02,1.05), p&lt;0.001</w:t>
            </w:r>
          </w:p>
        </w:tc>
      </w:tr>
      <w:bookmarkEnd w:id="0"/>
    </w:tbl>
    <w:p w:rsidR="0056103D" w:rsidRDefault="0056103D"/>
    <w:sectPr w:rsidR="00561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E2"/>
    <w:rsid w:val="0056103D"/>
    <w:rsid w:val="008C385A"/>
    <w:rsid w:val="00DA16E2"/>
    <w:rsid w:val="00F1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6E2"/>
    <w:pPr>
      <w:spacing w:after="0" w:line="240" w:lineRule="auto"/>
    </w:pPr>
    <w:rPr>
      <w:rFonts w:eastAsiaTheme="minorEastAsia"/>
      <w:lang w:val="en-AU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6E2"/>
    <w:pPr>
      <w:spacing w:after="0" w:line="240" w:lineRule="auto"/>
    </w:pPr>
    <w:rPr>
      <w:rFonts w:eastAsiaTheme="minorEastAsia"/>
      <w:lang w:val="en-AU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HEALCANCIA</cp:lastModifiedBy>
  <cp:revision>1</cp:revision>
  <dcterms:created xsi:type="dcterms:W3CDTF">2022-03-05T07:09:00Z</dcterms:created>
  <dcterms:modified xsi:type="dcterms:W3CDTF">2022-03-05T07:09:00Z</dcterms:modified>
</cp:coreProperties>
</file>