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66D" w:rsidRPr="00C63EAD" w:rsidRDefault="009A266D" w:rsidP="009A266D">
      <w:pPr>
        <w:spacing w:after="0" w:line="480" w:lineRule="auto"/>
        <w:rPr>
          <w:rFonts w:ascii="Times New Roman" w:eastAsiaTheme="majorEastAsia" w:hAnsi="Times New Roman" w:cs="Times New Roman"/>
          <w:b/>
          <w:bCs/>
          <w:sz w:val="28"/>
          <w:szCs w:val="28"/>
          <w:lang w:val="en-IN"/>
        </w:rPr>
      </w:pPr>
      <w:r w:rsidRPr="00C63EAD">
        <w:rPr>
          <w:rFonts w:ascii="Times New Roman" w:eastAsiaTheme="majorEastAsia" w:hAnsi="Times New Roman" w:cs="Times New Roman"/>
          <w:b/>
          <w:bCs/>
          <w:sz w:val="28"/>
          <w:szCs w:val="28"/>
          <w:lang w:val="en-IN"/>
        </w:rPr>
        <w:t>Supplementary Table S</w:t>
      </w:r>
      <w:bookmarkStart w:id="0" w:name="_GoBack"/>
      <w:bookmarkEnd w:id="0"/>
      <w:r>
        <w:rPr>
          <w:rFonts w:ascii="Times New Roman" w:eastAsiaTheme="majorEastAsia" w:hAnsi="Times New Roman" w:cs="Times New Roman"/>
          <w:b/>
          <w:bCs/>
          <w:sz w:val="28"/>
          <w:szCs w:val="28"/>
          <w:lang w:val="en-IN"/>
        </w:rPr>
        <w:t>4</w:t>
      </w:r>
      <w:r w:rsidRPr="00C63EAD">
        <w:rPr>
          <w:rFonts w:ascii="Times New Roman" w:eastAsiaTheme="majorEastAsia" w:hAnsi="Times New Roman" w:cs="Times New Roman"/>
          <w:b/>
          <w:bCs/>
          <w:sz w:val="28"/>
          <w:szCs w:val="28"/>
          <w:lang w:val="en-IN"/>
        </w:rPr>
        <w:t>: Risk of comorbidity in SLE patients within 2 years prior diagnosis date and within the 2 years post-index period</w:t>
      </w:r>
    </w:p>
    <w:tbl>
      <w:tblPr>
        <w:tblStyle w:val="TableGrid"/>
        <w:tblW w:w="13343" w:type="dxa"/>
        <w:tblInd w:w="-27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2693"/>
        <w:gridCol w:w="1313"/>
        <w:gridCol w:w="1545"/>
        <w:gridCol w:w="2068"/>
        <w:gridCol w:w="1293"/>
        <w:gridCol w:w="1523"/>
        <w:gridCol w:w="2013"/>
      </w:tblGrid>
      <w:tr w:rsidR="009A266D" w:rsidRPr="00C55626" w:rsidTr="00BF117A">
        <w:tc>
          <w:tcPr>
            <w:tcW w:w="3588" w:type="dxa"/>
            <w:gridSpan w:val="2"/>
            <w:vMerge w:val="restart"/>
            <w:vAlign w:val="center"/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Comorbidities</w:t>
            </w:r>
          </w:p>
        </w:tc>
        <w:tc>
          <w:tcPr>
            <w:tcW w:w="4926" w:type="dxa"/>
            <w:gridSpan w:val="3"/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2 years prior diagnosis date</w:t>
            </w:r>
          </w:p>
        </w:tc>
        <w:tc>
          <w:tcPr>
            <w:tcW w:w="4829" w:type="dxa"/>
            <w:gridSpan w:val="3"/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2 years post-index period</w:t>
            </w:r>
          </w:p>
        </w:tc>
      </w:tr>
      <w:tr w:rsidR="009A266D" w:rsidRPr="00C55626" w:rsidTr="00BF117A">
        <w:tc>
          <w:tcPr>
            <w:tcW w:w="3588" w:type="dxa"/>
            <w:gridSpan w:val="2"/>
            <w:vMerge/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3" w:type="dxa"/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SLE, n (%)</w:t>
            </w:r>
          </w:p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N=1,051</w:t>
            </w:r>
          </w:p>
        </w:tc>
        <w:tc>
          <w:tcPr>
            <w:tcW w:w="1545" w:type="dxa"/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Controls, n (%) N=5,255</w:t>
            </w:r>
          </w:p>
        </w:tc>
        <w:tc>
          <w:tcPr>
            <w:tcW w:w="2068" w:type="dxa"/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OR (99.9% CI)</w:t>
            </w:r>
          </w:p>
        </w:tc>
        <w:tc>
          <w:tcPr>
            <w:tcW w:w="1293" w:type="dxa"/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SLE, n (%)</w:t>
            </w:r>
          </w:p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N=1,051</w:t>
            </w:r>
          </w:p>
        </w:tc>
        <w:tc>
          <w:tcPr>
            <w:tcW w:w="1523" w:type="dxa"/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Controls, n (%) N=5,255</w:t>
            </w:r>
          </w:p>
        </w:tc>
        <w:tc>
          <w:tcPr>
            <w:tcW w:w="2013" w:type="dxa"/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OR (99.9% CI)</w:t>
            </w:r>
          </w:p>
        </w:tc>
      </w:tr>
      <w:tr w:rsidR="009A266D" w:rsidRPr="00C55626" w:rsidTr="00BF117A">
        <w:trPr>
          <w:cantSplit/>
          <w:trHeight w:val="728"/>
        </w:trPr>
        <w:tc>
          <w:tcPr>
            <w:tcW w:w="895" w:type="dxa"/>
            <w:vMerge w:val="restart"/>
            <w:textDirection w:val="btLr"/>
          </w:tcPr>
          <w:p w:rsidR="009A266D" w:rsidRPr="00C55626" w:rsidRDefault="009A266D" w:rsidP="00BF117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Malignancies</w:t>
            </w:r>
          </w:p>
        </w:tc>
        <w:tc>
          <w:tcPr>
            <w:tcW w:w="2693" w:type="dxa"/>
            <w:tcBorders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/>
                <w:bCs/>
              </w:rPr>
            </w:pPr>
            <w:r w:rsidRPr="00C55626">
              <w:rPr>
                <w:rFonts w:ascii="Times New Roman" w:hAnsi="Times New Roman" w:cs="Times New Roman"/>
                <w:b/>
                <w:bCs/>
              </w:rPr>
              <w:t>Primary solid tumors</w:t>
            </w:r>
          </w:p>
        </w:tc>
        <w:tc>
          <w:tcPr>
            <w:tcW w:w="1313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34 (3.2%)</w:t>
            </w:r>
          </w:p>
        </w:tc>
        <w:tc>
          <w:tcPr>
            <w:tcW w:w="1545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2068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1.00 (0.53–1.90)</w:t>
            </w:r>
          </w:p>
        </w:tc>
        <w:tc>
          <w:tcPr>
            <w:tcW w:w="1293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52 (4.9%)</w:t>
            </w:r>
          </w:p>
        </w:tc>
        <w:tc>
          <w:tcPr>
            <w:tcW w:w="1523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210 (4.0%)</w:t>
            </w:r>
          </w:p>
        </w:tc>
        <w:tc>
          <w:tcPr>
            <w:tcW w:w="2013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1.26 (0.74–2.16)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ind w:left="166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Colorectal cancer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170 (3.2%)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2.17 (0.22–21.46)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16 (0.3%)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0.94 (0.12–7.54)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ind w:left="166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Lung cancer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0.71 (0.02–24.33)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17 (0.3%)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2.08 (0.47–9.18)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ind w:left="166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Melanoma and NMSC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1.44 (0.38–5.47)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28 (0.5%)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1.26 (0.31–5.10)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ind w:left="166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Breast cancer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10 (1.0%)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28 (0.5%)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0.70 (0.23–2.15)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12 (1.1%)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79 (1.5%)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0.75 (0.27–2.12)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ind w:left="166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Cervical cancer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71 (1.4%)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1.02 (0–NA)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0.62 (0.02–20.57)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Lymphomas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9.25 (2.50–34.14)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11 (1.0%)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13 (0.2%)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4.30 (1.11–16.70)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Leukemia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3.37 (0.40–28.52)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12 (0.2%)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2.94 (0.61–14.15)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Metastatic cancer</w:t>
            </w:r>
          </w:p>
        </w:tc>
        <w:tc>
          <w:tcPr>
            <w:tcW w:w="1313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2068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1.48 (0.27–7.94)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11 (1.0%)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22 (0.4%)</w:t>
            </w: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2.53 (0.74–8.62)</w:t>
            </w:r>
          </w:p>
        </w:tc>
      </w:tr>
      <w:tr w:rsidR="009A266D" w:rsidRPr="00C55626" w:rsidTr="00BF117A">
        <w:trPr>
          <w:cantSplit/>
          <w:trHeight w:val="890"/>
        </w:trPr>
        <w:tc>
          <w:tcPr>
            <w:tcW w:w="895" w:type="dxa"/>
            <w:vMerge w:val="restart"/>
            <w:tcBorders>
              <w:bottom w:val="nil"/>
            </w:tcBorders>
            <w:textDirection w:val="btLr"/>
          </w:tcPr>
          <w:p w:rsidR="009A266D" w:rsidRPr="00C55626" w:rsidRDefault="009A266D" w:rsidP="00BF117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Metabolic diseases</w:t>
            </w:r>
          </w:p>
        </w:tc>
        <w:tc>
          <w:tcPr>
            <w:tcW w:w="2693" w:type="dxa"/>
            <w:tcBorders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Disorders of endocrine glands</w:t>
            </w:r>
          </w:p>
        </w:tc>
        <w:tc>
          <w:tcPr>
            <w:tcW w:w="1313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150 (14.3%)</w:t>
            </w:r>
          </w:p>
        </w:tc>
        <w:tc>
          <w:tcPr>
            <w:tcW w:w="1545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2068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2.54 (1.79–3.60)</w:t>
            </w:r>
          </w:p>
        </w:tc>
        <w:tc>
          <w:tcPr>
            <w:tcW w:w="1293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178 (16.9%)</w:t>
            </w:r>
          </w:p>
        </w:tc>
        <w:tc>
          <w:tcPr>
            <w:tcW w:w="1523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404 (7.7%)</w:t>
            </w:r>
          </w:p>
        </w:tc>
        <w:tc>
          <w:tcPr>
            <w:tcW w:w="2013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2.49 (1.80–3.44)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ind w:left="166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Hypothyroidism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73 (6.9%)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329 (6.3%)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2.68 (1.64–4.37)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96 (9.1%)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175 (3.3%)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2.95 (1.91–4.57)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/>
              </w:rPr>
              <w:t>Diabetes and its complications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73 (6.9%)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144 (2.7%)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1.10 (0.70–1.74)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87 (8.3%)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384 (7.3%)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1.16 (0.76–1.76)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ind w:left="166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Type 1 diabetes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20 (1.9%)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336 (6.4%)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1.20 (0.52–2.75)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34 (3.2%)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95 (1.8%)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1.83 (0.94–3.60)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ind w:left="166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Type 2 diabetes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57 (5.4%)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84 (1.6%)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1.04 (0.63–1.73)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72 (6.9%)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312 (5.9%)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1.18 (0.74–1.86)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/>
              </w:rPr>
              <w:t>Other metabolic disorders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231 (22.0%)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275 (5.2%)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1.90 (1.40–2.59)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272 (25.9%)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779 (14.8%)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2.25 (1.68–3.00)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ind w:left="166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Lipidaemia</w:t>
            </w:r>
          </w:p>
        </w:tc>
        <w:tc>
          <w:tcPr>
            <w:tcW w:w="1313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745 (14.2%)</w:t>
            </w:r>
          </w:p>
        </w:tc>
        <w:tc>
          <w:tcPr>
            <w:tcW w:w="2068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1.43 (1.02–2.01)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190 (18.1%)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699 (13.3%)</w:t>
            </w: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1.52 (1.11–2.10)</w:t>
            </w:r>
          </w:p>
        </w:tc>
      </w:tr>
      <w:tr w:rsidR="009A266D" w:rsidRPr="00C55626" w:rsidTr="00BF117A">
        <w:trPr>
          <w:cantSplit/>
          <w:trHeight w:val="647"/>
        </w:trPr>
        <w:tc>
          <w:tcPr>
            <w:tcW w:w="895" w:type="dxa"/>
            <w:vMerge w:val="restart"/>
            <w:tcBorders>
              <w:bottom w:val="nil"/>
            </w:tcBorders>
            <w:textDirection w:val="btLr"/>
          </w:tcPr>
          <w:p w:rsidR="009A266D" w:rsidRPr="00C55626" w:rsidRDefault="009A266D" w:rsidP="00BF117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Mental diseases</w:t>
            </w:r>
          </w:p>
        </w:tc>
        <w:tc>
          <w:tcPr>
            <w:tcW w:w="2693" w:type="dxa"/>
            <w:tcBorders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/>
              </w:rPr>
              <w:t>Depression or anxiety</w:t>
            </w:r>
          </w:p>
        </w:tc>
        <w:tc>
          <w:tcPr>
            <w:tcW w:w="1313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88 (8.4%)</w:t>
            </w:r>
          </w:p>
        </w:tc>
        <w:tc>
          <w:tcPr>
            <w:tcW w:w="1545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2068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1.59 (1.12–2.25)</w:t>
            </w:r>
          </w:p>
        </w:tc>
        <w:tc>
          <w:tcPr>
            <w:tcW w:w="1293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187 (17.8%)</w:t>
            </w:r>
          </w:p>
        </w:tc>
        <w:tc>
          <w:tcPr>
            <w:tcW w:w="1523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451 (8.6%)</w:t>
            </w:r>
          </w:p>
        </w:tc>
        <w:tc>
          <w:tcPr>
            <w:tcW w:w="2013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2.36 (1.72–3.23)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ind w:left="166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Psychosis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11 (1.0%)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295 (5.6%)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0.86 (0.29–2.53)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12 (1.1%)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69 (1.3%)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0.87 (0.31–2.45)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/>
              </w:rPr>
              <w:t>Other mental disorders</w:t>
            </w:r>
          </w:p>
        </w:tc>
        <w:tc>
          <w:tcPr>
            <w:tcW w:w="1313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64 (1.2%)</w:t>
            </w:r>
          </w:p>
        </w:tc>
        <w:tc>
          <w:tcPr>
            <w:tcW w:w="2068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1.73 (1.05–2.83)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82 (7.8%)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204 (3.9%)</w:t>
            </w: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2.11 (1.35–3.30)</w:t>
            </w:r>
          </w:p>
        </w:tc>
      </w:tr>
      <w:tr w:rsidR="009A266D" w:rsidRPr="00C55626" w:rsidTr="00BF117A">
        <w:trPr>
          <w:cantSplit/>
          <w:trHeight w:val="728"/>
        </w:trPr>
        <w:tc>
          <w:tcPr>
            <w:tcW w:w="895" w:type="dxa"/>
            <w:vMerge w:val="restart"/>
            <w:tcBorders>
              <w:bottom w:val="nil"/>
            </w:tcBorders>
            <w:textDirection w:val="btLr"/>
          </w:tcPr>
          <w:p w:rsidR="009A266D" w:rsidRPr="00C55626" w:rsidRDefault="009A266D" w:rsidP="00BF117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lastRenderedPageBreak/>
              <w:t>Cardiovascular diseases</w:t>
            </w:r>
          </w:p>
        </w:tc>
        <w:tc>
          <w:tcPr>
            <w:tcW w:w="2693" w:type="dxa"/>
            <w:tcBorders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Cerebral vascular accident</w:t>
            </w:r>
          </w:p>
        </w:tc>
        <w:tc>
          <w:tcPr>
            <w:tcW w:w="1313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92 (8.8%)</w:t>
            </w:r>
          </w:p>
        </w:tc>
        <w:tc>
          <w:tcPr>
            <w:tcW w:w="1545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2068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1.77 (1.14–2.74)</w:t>
            </w:r>
          </w:p>
        </w:tc>
        <w:tc>
          <w:tcPr>
            <w:tcW w:w="1293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108 (10.3%)</w:t>
            </w:r>
          </w:p>
        </w:tc>
        <w:tc>
          <w:tcPr>
            <w:tcW w:w="1523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315 (6.0%)</w:t>
            </w:r>
          </w:p>
        </w:tc>
        <w:tc>
          <w:tcPr>
            <w:tcW w:w="2013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1.91 (1.27–2.88)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Acute MI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26 (2.5%)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287 (5.5%)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2.41 (1.08–5.36)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23 (2.2%)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58 (1.1%)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2.05 (0.89–4.71)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CHF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47 (4.5%)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56 (1.1%)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2.74 (1.47–5.11)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90 (8.6%)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127 (2.4%)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4.10 (2.52–6.67)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Hypertension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470 (44.7%)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94 (1.8%)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2.33 (1.74–3.10)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583 (55.5%)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1795 (34.2%)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3.59 (2.72– 4.75)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Other cardiovascular diseases</w:t>
            </w:r>
          </w:p>
        </w:tc>
        <w:tc>
          <w:tcPr>
            <w:tcW w:w="1313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386 (36.7%)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1684 (32.0%)</w:t>
            </w:r>
          </w:p>
        </w:tc>
        <w:tc>
          <w:tcPr>
            <w:tcW w:w="2068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3.93 (2.99–5.17)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397 (37.8%)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867 (16.5%)</w:t>
            </w: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3.74 (2.86– 4.89)</w:t>
            </w:r>
          </w:p>
        </w:tc>
      </w:tr>
      <w:tr w:rsidR="009A266D" w:rsidRPr="00C55626" w:rsidTr="00BF117A">
        <w:trPr>
          <w:cantSplit/>
          <w:trHeight w:val="620"/>
        </w:trPr>
        <w:tc>
          <w:tcPr>
            <w:tcW w:w="895" w:type="dxa"/>
            <w:vMerge w:val="restart"/>
            <w:tcBorders>
              <w:bottom w:val="nil"/>
            </w:tcBorders>
            <w:textDirection w:val="btLr"/>
          </w:tcPr>
          <w:p w:rsidR="009A266D" w:rsidRPr="00C55626" w:rsidRDefault="009A266D" w:rsidP="00BF117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Pulmonary diseases</w:t>
            </w:r>
          </w:p>
        </w:tc>
        <w:tc>
          <w:tcPr>
            <w:tcW w:w="2693" w:type="dxa"/>
            <w:tcBorders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/>
              </w:rPr>
              <w:t>Pulmonary diseases</w:t>
            </w:r>
          </w:p>
        </w:tc>
        <w:tc>
          <w:tcPr>
            <w:tcW w:w="1313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134 ()</w:t>
            </w:r>
          </w:p>
        </w:tc>
        <w:tc>
          <w:tcPr>
            <w:tcW w:w="1545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810 (15.4%)</w:t>
            </w:r>
          </w:p>
        </w:tc>
        <w:tc>
          <w:tcPr>
            <w:tcW w:w="2068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2.35 (1.63–3.39)</w:t>
            </w:r>
          </w:p>
        </w:tc>
        <w:tc>
          <w:tcPr>
            <w:tcW w:w="1293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129 (12.3%)</w:t>
            </w:r>
          </w:p>
        </w:tc>
        <w:tc>
          <w:tcPr>
            <w:tcW w:w="1523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338 (6.4%)</w:t>
            </w:r>
          </w:p>
        </w:tc>
        <w:tc>
          <w:tcPr>
            <w:tcW w:w="2013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2.07 (1.44–2.99)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ind w:left="166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Interstitial pulmonary disease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313 (6.0%)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10.13 (1.34–76.44)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7.62 (0.90–64.40)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ind w:left="166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  <w:bCs/>
              </w:rPr>
              <w:t>Pulmonary hypertension</w:t>
            </w:r>
          </w:p>
        </w:tc>
        <w:tc>
          <w:tcPr>
            <w:tcW w:w="1313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191 (18.2%)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2068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2.51 (0.04– 142.28)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&lt;10</w:t>
            </w:r>
          </w:p>
        </w:tc>
        <w:tc>
          <w:tcPr>
            <w:tcW w:w="2013" w:type="dxa"/>
            <w:tcBorders>
              <w:top w:val="nil"/>
              <w:bottom w:val="single" w:sz="4" w:space="0" w:color="auto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5.02 (0.34– 73.88)</w:t>
            </w:r>
          </w:p>
        </w:tc>
      </w:tr>
      <w:tr w:rsidR="009A266D" w:rsidRPr="00C55626" w:rsidTr="00BF117A">
        <w:trPr>
          <w:cantSplit/>
          <w:trHeight w:val="647"/>
        </w:trPr>
        <w:tc>
          <w:tcPr>
            <w:tcW w:w="895" w:type="dxa"/>
            <w:vMerge w:val="restart"/>
            <w:tcBorders>
              <w:bottom w:val="nil"/>
            </w:tcBorders>
            <w:textDirection w:val="btLr"/>
          </w:tcPr>
          <w:p w:rsidR="009A266D" w:rsidRPr="00C55626" w:rsidRDefault="009A266D" w:rsidP="00BF117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Others</w:t>
            </w:r>
          </w:p>
        </w:tc>
        <w:tc>
          <w:tcPr>
            <w:tcW w:w="2693" w:type="dxa"/>
            <w:tcBorders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Anemia</w:t>
            </w:r>
          </w:p>
        </w:tc>
        <w:tc>
          <w:tcPr>
            <w:tcW w:w="1313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102 (9.7%)</w:t>
            </w:r>
          </w:p>
        </w:tc>
        <w:tc>
          <w:tcPr>
            <w:tcW w:w="1545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55 (1.0%)</w:t>
            </w:r>
          </w:p>
        </w:tc>
        <w:tc>
          <w:tcPr>
            <w:tcW w:w="2068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10.82 (6.10–19.20)</w:t>
            </w:r>
          </w:p>
        </w:tc>
        <w:tc>
          <w:tcPr>
            <w:tcW w:w="1293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102 (9.7%)</w:t>
            </w:r>
          </w:p>
        </w:tc>
        <w:tc>
          <w:tcPr>
            <w:tcW w:w="1523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56 (1.1%)</w:t>
            </w:r>
          </w:p>
        </w:tc>
        <w:tc>
          <w:tcPr>
            <w:tcW w:w="2013" w:type="dxa"/>
            <w:tcBorders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10.10 (5.76–17.70)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Epilepsy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23 (2.2%)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35 (0.7%)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2.78 (1.17–6.58)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37 (3.5%)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44 (0.8%)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4.33 (2.06–9.11)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Liver disease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20 (1.9%)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25 (0.5%)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5.69 (1.94–16.72)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19 (1.8%)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13 (0.2%)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7.47 (2.27–24.59)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Osteoporosis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138 (13.1%)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18 (0.3%)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3.29 (2.20–4.93)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306 (29.1%)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347 (6.6%)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7.82 (5.64–10.84)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Peptic ulcer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108 (10.3%)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276 (5.3%)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2.67 (1.21–5.92)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34 (3.2%)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46 (0.9%)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3.83 (1.80–8.15)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Renal disease</w:t>
            </w:r>
          </w:p>
        </w:tc>
        <w:tc>
          <w:tcPr>
            <w:tcW w:w="13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79 (7.5%)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42 (0.8%)</w:t>
            </w:r>
          </w:p>
        </w:tc>
        <w:tc>
          <w:tcPr>
            <w:tcW w:w="2068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17.82 (8.25–38.52)</w:t>
            </w:r>
          </w:p>
        </w:tc>
        <w:tc>
          <w:tcPr>
            <w:tcW w:w="129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107 (10.2%)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51 (1.0%)</w:t>
            </w:r>
          </w:p>
        </w:tc>
        <w:tc>
          <w:tcPr>
            <w:tcW w:w="2013" w:type="dxa"/>
            <w:tcBorders>
              <w:top w:val="nil"/>
              <w:bottom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12.19 (6.83–21.76)</w:t>
            </w:r>
          </w:p>
        </w:tc>
      </w:tr>
      <w:tr w:rsidR="009A266D" w:rsidRPr="00C55626" w:rsidTr="00BF117A">
        <w:tc>
          <w:tcPr>
            <w:tcW w:w="895" w:type="dxa"/>
            <w:vMerge/>
            <w:tcBorders>
              <w:top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9A266D" w:rsidRPr="00C55626" w:rsidRDefault="009A266D" w:rsidP="00BF117A">
            <w:pPr>
              <w:rPr>
                <w:rFonts w:ascii="Times New Roman" w:hAnsi="Times New Roman" w:cs="Times New Roman"/>
                <w:b/>
              </w:rPr>
            </w:pPr>
            <w:r w:rsidRPr="00C55626">
              <w:rPr>
                <w:rFonts w:ascii="Times New Roman" w:hAnsi="Times New Roman" w:cs="Times New Roman"/>
                <w:b/>
              </w:rPr>
              <w:t>Serious infections</w:t>
            </w:r>
          </w:p>
        </w:tc>
        <w:tc>
          <w:tcPr>
            <w:tcW w:w="1313" w:type="dxa"/>
            <w:tcBorders>
              <w:top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152 (14.5%)</w:t>
            </w:r>
          </w:p>
        </w:tc>
        <w:tc>
          <w:tcPr>
            <w:tcW w:w="1545" w:type="dxa"/>
            <w:tcBorders>
              <w:top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52 (1.0%)</w:t>
            </w:r>
          </w:p>
        </w:tc>
        <w:tc>
          <w:tcPr>
            <w:tcW w:w="2068" w:type="dxa"/>
            <w:tcBorders>
              <w:top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10.30 (6.49–16.34)</w:t>
            </w:r>
          </w:p>
        </w:tc>
        <w:tc>
          <w:tcPr>
            <w:tcW w:w="1293" w:type="dxa"/>
            <w:tcBorders>
              <w:top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103 (9.8%)</w:t>
            </w:r>
          </w:p>
        </w:tc>
        <w:tc>
          <w:tcPr>
            <w:tcW w:w="1523" w:type="dxa"/>
            <w:tcBorders>
              <w:top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96 (1.8%)</w:t>
            </w:r>
          </w:p>
        </w:tc>
        <w:tc>
          <w:tcPr>
            <w:tcW w:w="2013" w:type="dxa"/>
            <w:tcBorders>
              <w:top w:val="nil"/>
            </w:tcBorders>
          </w:tcPr>
          <w:p w:rsidR="009A266D" w:rsidRPr="00C55626" w:rsidRDefault="009A266D" w:rsidP="00BF117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55626">
              <w:rPr>
                <w:rFonts w:ascii="Times New Roman" w:hAnsi="Times New Roman" w:cs="Times New Roman"/>
              </w:rPr>
              <w:t>5.89 (3.63–9.54)</w:t>
            </w:r>
          </w:p>
        </w:tc>
      </w:tr>
    </w:tbl>
    <w:p w:rsidR="009A266D" w:rsidRPr="00C55626" w:rsidRDefault="009A266D" w:rsidP="009A266D">
      <w:pPr>
        <w:spacing w:after="0" w:line="240" w:lineRule="auto"/>
        <w:rPr>
          <w:rFonts w:ascii="Times New Roman" w:hAnsi="Times New Roman" w:cs="Times New Roman"/>
          <w:b/>
          <w:sz w:val="20"/>
          <w:szCs w:val="24"/>
        </w:rPr>
      </w:pPr>
      <w:r w:rsidRPr="00C55626">
        <w:rPr>
          <w:rFonts w:ascii="Times New Roman" w:hAnsi="Times New Roman" w:cs="Times New Roman"/>
          <w:sz w:val="20"/>
          <w:szCs w:val="24"/>
        </w:rPr>
        <w:t>Each patient with SLE was matched by age, gender and region to 5 patients from the general population, and odds ratios are calculated with a logistic regression model. Patient numbers lower than 10 are not presented</w:t>
      </w:r>
      <w:r w:rsidRPr="00C55626">
        <w:rPr>
          <w:rFonts w:ascii="Times New Roman" w:hAnsi="Times New Roman" w:cs="Times New Roman"/>
          <w:b/>
          <w:sz w:val="20"/>
          <w:szCs w:val="24"/>
        </w:rPr>
        <w:t>.</w:t>
      </w:r>
    </w:p>
    <w:p w:rsidR="009A266D" w:rsidRPr="00F53309" w:rsidRDefault="009A266D" w:rsidP="009A266D">
      <w:pPr>
        <w:spacing w:after="0" w:line="240" w:lineRule="auto"/>
        <w:rPr>
          <w:rFonts w:ascii="Times New Roman" w:hAnsi="Times New Roman" w:cs="Times New Roman"/>
          <w:bCs/>
          <w:sz w:val="20"/>
          <w:szCs w:val="24"/>
        </w:rPr>
      </w:pPr>
      <w:r w:rsidRPr="00C55626">
        <w:rPr>
          <w:rFonts w:ascii="Times New Roman" w:hAnsi="Times New Roman" w:cs="Times New Roman"/>
          <w:b/>
          <w:sz w:val="20"/>
          <w:szCs w:val="24"/>
        </w:rPr>
        <w:t xml:space="preserve">Abbreviations: </w:t>
      </w:r>
      <w:r w:rsidRPr="00C55626">
        <w:rPr>
          <w:rFonts w:ascii="Times New Roman" w:hAnsi="Times New Roman" w:cs="Times New Roman"/>
          <w:bCs/>
          <w:sz w:val="20"/>
          <w:szCs w:val="24"/>
        </w:rPr>
        <w:t>CHF – Congestive Heart Failure, CI – Confidence Interval, MI – Myocardial Infarction, NMSC – Non-melanoma Skin Cancer, OR – Odds Ratio, SLE – Systemic Lupus Erythematos</w:t>
      </w:r>
      <w:r>
        <w:rPr>
          <w:rFonts w:ascii="Times New Roman" w:hAnsi="Times New Roman" w:cs="Times New Roman"/>
          <w:bCs/>
          <w:sz w:val="20"/>
          <w:szCs w:val="24"/>
        </w:rPr>
        <w:t>us</w:t>
      </w:r>
    </w:p>
    <w:p w:rsidR="001E44A2" w:rsidRDefault="001E44A2"/>
    <w:sectPr w:rsidR="001E44A2" w:rsidSect="005B013C">
      <w:headerReference w:type="default" r:id="rId5"/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08920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62E9" w:rsidRDefault="009A26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62E9" w:rsidRDefault="009A266D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9B3" w:rsidRDefault="009A26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66D"/>
    <w:rsid w:val="0003437B"/>
    <w:rsid w:val="00093ACB"/>
    <w:rsid w:val="001E44A2"/>
    <w:rsid w:val="00482CA0"/>
    <w:rsid w:val="005D1738"/>
    <w:rsid w:val="00686FE0"/>
    <w:rsid w:val="007239D9"/>
    <w:rsid w:val="00724A80"/>
    <w:rsid w:val="009A266D"/>
    <w:rsid w:val="00A96A96"/>
    <w:rsid w:val="00AB4751"/>
    <w:rsid w:val="00CB057E"/>
    <w:rsid w:val="00EA0E34"/>
    <w:rsid w:val="00EE7DC2"/>
    <w:rsid w:val="00FD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266D"/>
    <w:pPr>
      <w:tabs>
        <w:tab w:val="center" w:pos="4680"/>
        <w:tab w:val="right" w:pos="9360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9A26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A266D"/>
    <w:pPr>
      <w:tabs>
        <w:tab w:val="center" w:pos="4680"/>
        <w:tab w:val="right" w:pos="9360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9A266D"/>
    <w:rPr>
      <w:lang w:val="en-GB"/>
    </w:rPr>
  </w:style>
  <w:style w:type="table" w:styleId="TableGrid">
    <w:name w:val="Table Grid"/>
    <w:basedOn w:val="TableNormal"/>
    <w:uiPriority w:val="39"/>
    <w:rsid w:val="009A2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266D"/>
    <w:pPr>
      <w:tabs>
        <w:tab w:val="center" w:pos="4680"/>
        <w:tab w:val="right" w:pos="9360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9A26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A266D"/>
    <w:pPr>
      <w:tabs>
        <w:tab w:val="center" w:pos="4680"/>
        <w:tab w:val="right" w:pos="9360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9A266D"/>
    <w:rPr>
      <w:lang w:val="en-GB"/>
    </w:rPr>
  </w:style>
  <w:style w:type="table" w:styleId="TableGrid">
    <w:name w:val="Table Grid"/>
    <w:basedOn w:val="TableNormal"/>
    <w:uiPriority w:val="39"/>
    <w:rsid w:val="009A2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3199</Characters>
  <Application>Microsoft Office Word</Application>
  <DocSecurity>0</DocSecurity>
  <Lines>457</Lines>
  <Paragraphs>433</Paragraphs>
  <ScaleCrop>false</ScaleCrop>
  <Company/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2022-05-11T02:00:00Z</dcterms:created>
  <dcterms:modified xsi:type="dcterms:W3CDTF">2022-05-11T02:01:00Z</dcterms:modified>
</cp:coreProperties>
</file>