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2B1F2" w14:textId="6C2B371F" w:rsidR="005C2F94" w:rsidRDefault="005C2F94" w:rsidP="005C2F94">
      <w:pPr>
        <w:spacing w:line="240" w:lineRule="auto"/>
      </w:pPr>
      <w:r w:rsidRPr="00067FC0">
        <w:rPr>
          <w:b/>
          <w:bCs/>
        </w:rPr>
        <w:t>Supplementary Table</w:t>
      </w:r>
      <w:r w:rsidR="002F1874">
        <w:rPr>
          <w:b/>
          <w:bCs/>
        </w:rPr>
        <w:t xml:space="preserve"> </w:t>
      </w:r>
      <w:r w:rsidR="00D139F2">
        <w:rPr>
          <w:b/>
          <w:bCs/>
        </w:rPr>
        <w:t>1</w:t>
      </w:r>
      <w:r w:rsidRPr="00067FC0">
        <w:rPr>
          <w:b/>
          <w:bCs/>
        </w:rPr>
        <w:t>.</w:t>
      </w:r>
      <w:r>
        <w:t xml:space="preserve"> </w:t>
      </w:r>
      <w:bookmarkStart w:id="0" w:name="_Hlk85453804"/>
      <w:r>
        <w:t>Bone parameters, abbreviation, unit, description and measure methods</w:t>
      </w:r>
    </w:p>
    <w:tbl>
      <w:tblPr>
        <w:tblStyle w:val="TableGrid"/>
        <w:tblW w:w="483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3"/>
        <w:gridCol w:w="3017"/>
        <w:gridCol w:w="4536"/>
        <w:gridCol w:w="2427"/>
      </w:tblGrid>
      <w:tr w:rsidR="00730573" w:rsidRPr="00025E10" w14:paraId="1395BAF1" w14:textId="77777777" w:rsidTr="00340FAC">
        <w:tc>
          <w:tcPr>
            <w:tcW w:w="1299" w:type="pct"/>
            <w:tcBorders>
              <w:top w:val="single" w:sz="4" w:space="0" w:color="auto"/>
              <w:bottom w:val="single" w:sz="4" w:space="0" w:color="auto"/>
            </w:tcBorders>
          </w:tcPr>
          <w:p w14:paraId="62CB0769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bookmarkStart w:id="1" w:name="_Hlk85646023"/>
            <w:bookmarkEnd w:id="0"/>
            <w:r w:rsidRPr="00025E10">
              <w:rPr>
                <w:rFonts w:asciiTheme="majorBidi" w:hAnsiTheme="majorBidi" w:cstheme="majorBidi"/>
                <w:sz w:val="22"/>
              </w:rPr>
              <w:t xml:space="preserve">Parameter </w:t>
            </w:r>
          </w:p>
        </w:tc>
        <w:tc>
          <w:tcPr>
            <w:tcW w:w="1119" w:type="pct"/>
            <w:tcBorders>
              <w:top w:val="single" w:sz="4" w:space="0" w:color="auto"/>
              <w:bottom w:val="single" w:sz="4" w:space="0" w:color="auto"/>
            </w:tcBorders>
          </w:tcPr>
          <w:p w14:paraId="21E83C7C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Abbreviation and standard unit </w:t>
            </w:r>
          </w:p>
        </w:tc>
        <w:tc>
          <w:tcPr>
            <w:tcW w:w="1682" w:type="pct"/>
            <w:tcBorders>
              <w:top w:val="single" w:sz="4" w:space="0" w:color="auto"/>
              <w:bottom w:val="single" w:sz="4" w:space="0" w:color="auto"/>
            </w:tcBorders>
          </w:tcPr>
          <w:p w14:paraId="656525C1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Description </w:t>
            </w:r>
          </w:p>
        </w:tc>
        <w:tc>
          <w:tcPr>
            <w:tcW w:w="900" w:type="pct"/>
            <w:tcBorders>
              <w:top w:val="single" w:sz="4" w:space="0" w:color="auto"/>
              <w:bottom w:val="single" w:sz="4" w:space="0" w:color="auto"/>
            </w:tcBorders>
          </w:tcPr>
          <w:p w14:paraId="74664C9B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Methods </w:t>
            </w:r>
          </w:p>
        </w:tc>
      </w:tr>
      <w:tr w:rsidR="00730573" w:rsidRPr="00025E10" w14:paraId="68D61DBB" w14:textId="77777777" w:rsidTr="00340FAC">
        <w:tc>
          <w:tcPr>
            <w:tcW w:w="1299" w:type="pct"/>
            <w:tcBorders>
              <w:top w:val="single" w:sz="4" w:space="0" w:color="auto"/>
            </w:tcBorders>
            <w:shd w:val="clear" w:color="auto" w:fill="auto"/>
          </w:tcPr>
          <w:p w14:paraId="723160ED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b/>
                <w:bCs/>
                <w:sz w:val="22"/>
              </w:rPr>
              <w:t>Bone areas</w:t>
            </w:r>
          </w:p>
        </w:tc>
        <w:tc>
          <w:tcPr>
            <w:tcW w:w="1119" w:type="pct"/>
            <w:tcBorders>
              <w:top w:val="single" w:sz="4" w:space="0" w:color="auto"/>
            </w:tcBorders>
          </w:tcPr>
          <w:p w14:paraId="6B6058D5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682" w:type="pct"/>
            <w:tcBorders>
              <w:top w:val="single" w:sz="4" w:space="0" w:color="auto"/>
            </w:tcBorders>
          </w:tcPr>
          <w:p w14:paraId="6A3CE394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00" w:type="pct"/>
            <w:tcBorders>
              <w:top w:val="single" w:sz="4" w:space="0" w:color="auto"/>
            </w:tcBorders>
          </w:tcPr>
          <w:p w14:paraId="3CF39CE0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</w:p>
        </w:tc>
      </w:tr>
      <w:tr w:rsidR="00730573" w:rsidRPr="00025E10" w14:paraId="7DBE93EE" w14:textId="77777777" w:rsidTr="00340FAC">
        <w:tc>
          <w:tcPr>
            <w:tcW w:w="1299" w:type="pct"/>
            <w:shd w:val="clear" w:color="auto" w:fill="auto"/>
          </w:tcPr>
          <w:p w14:paraId="793F7F66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Total bone area </w:t>
            </w:r>
          </w:p>
        </w:tc>
        <w:tc>
          <w:tcPr>
            <w:tcW w:w="1119" w:type="pct"/>
          </w:tcPr>
          <w:p w14:paraId="14075E8C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Tt.Ar (mm</w:t>
            </w:r>
            <w:r w:rsidRPr="00025E10">
              <w:rPr>
                <w:rFonts w:asciiTheme="majorBidi" w:hAnsiTheme="majorBidi" w:cstheme="majorBidi"/>
                <w:sz w:val="22"/>
                <w:vertAlign w:val="superscript"/>
              </w:rPr>
              <w:t>2</w:t>
            </w:r>
            <w:r w:rsidRPr="00025E10">
              <w:rPr>
                <w:rFonts w:asciiTheme="majorBidi" w:hAnsiTheme="majorBidi" w:cstheme="majorBidi"/>
                <w:sz w:val="22"/>
              </w:rPr>
              <w:t>)</w:t>
            </w:r>
          </w:p>
        </w:tc>
        <w:tc>
          <w:tcPr>
            <w:tcW w:w="1682" w:type="pct"/>
          </w:tcPr>
          <w:p w14:paraId="79C2E950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The average of total cross-sectional area of selected or 110 slices</w:t>
            </w:r>
          </w:p>
        </w:tc>
        <w:tc>
          <w:tcPr>
            <w:tcW w:w="900" w:type="pct"/>
          </w:tcPr>
          <w:p w14:paraId="457D94B4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Direct model</w:t>
            </w:r>
          </w:p>
        </w:tc>
      </w:tr>
      <w:tr w:rsidR="00730573" w:rsidRPr="00025E10" w14:paraId="17FC6B27" w14:textId="77777777" w:rsidTr="00340FAC">
        <w:tc>
          <w:tcPr>
            <w:tcW w:w="1299" w:type="pct"/>
            <w:shd w:val="clear" w:color="auto" w:fill="auto"/>
          </w:tcPr>
          <w:p w14:paraId="133E09CD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Cortical area </w:t>
            </w:r>
          </w:p>
        </w:tc>
        <w:tc>
          <w:tcPr>
            <w:tcW w:w="1119" w:type="pct"/>
          </w:tcPr>
          <w:p w14:paraId="4E0AA628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Ct.Ar (mm</w:t>
            </w:r>
            <w:r w:rsidRPr="00025E10">
              <w:rPr>
                <w:rFonts w:asciiTheme="majorBidi" w:hAnsiTheme="majorBidi" w:cstheme="majorBidi"/>
                <w:sz w:val="22"/>
                <w:vertAlign w:val="superscript"/>
              </w:rPr>
              <w:t>2</w:t>
            </w:r>
            <w:r w:rsidRPr="00025E10">
              <w:rPr>
                <w:rFonts w:asciiTheme="majorBidi" w:hAnsiTheme="majorBidi" w:cstheme="majorBidi"/>
                <w:sz w:val="22"/>
              </w:rPr>
              <w:t>)</w:t>
            </w:r>
          </w:p>
        </w:tc>
        <w:tc>
          <w:tcPr>
            <w:tcW w:w="1682" w:type="pct"/>
          </w:tcPr>
          <w:p w14:paraId="09953E93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The average of total sectional area of cortical  compartments</w:t>
            </w:r>
          </w:p>
        </w:tc>
        <w:tc>
          <w:tcPr>
            <w:tcW w:w="900" w:type="pct"/>
          </w:tcPr>
          <w:p w14:paraId="3D8E5269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Direct model </w:t>
            </w:r>
          </w:p>
        </w:tc>
      </w:tr>
      <w:tr w:rsidR="00730573" w:rsidRPr="00025E10" w14:paraId="454AD25C" w14:textId="77777777" w:rsidTr="00340FAC">
        <w:tc>
          <w:tcPr>
            <w:tcW w:w="1299" w:type="pct"/>
            <w:shd w:val="clear" w:color="auto" w:fill="auto"/>
          </w:tcPr>
          <w:p w14:paraId="49A764F3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Trabecular area </w:t>
            </w:r>
          </w:p>
        </w:tc>
        <w:tc>
          <w:tcPr>
            <w:tcW w:w="1119" w:type="pct"/>
          </w:tcPr>
          <w:p w14:paraId="35D89771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Tb.Ar (mm</w:t>
            </w:r>
            <w:r w:rsidRPr="00025E10">
              <w:rPr>
                <w:rFonts w:asciiTheme="majorBidi" w:hAnsiTheme="majorBidi" w:cstheme="majorBidi"/>
                <w:sz w:val="22"/>
                <w:vertAlign w:val="superscript"/>
              </w:rPr>
              <w:t>2</w:t>
            </w:r>
            <w:r w:rsidRPr="00025E10">
              <w:rPr>
                <w:rFonts w:asciiTheme="majorBidi" w:hAnsiTheme="majorBidi" w:cstheme="majorBidi"/>
                <w:sz w:val="22"/>
              </w:rPr>
              <w:t>)</w:t>
            </w:r>
          </w:p>
        </w:tc>
        <w:tc>
          <w:tcPr>
            <w:tcW w:w="1682" w:type="pct"/>
          </w:tcPr>
          <w:p w14:paraId="5136A9BC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The average of total sectional area of medullary  compartments</w:t>
            </w:r>
          </w:p>
        </w:tc>
        <w:tc>
          <w:tcPr>
            <w:tcW w:w="900" w:type="pct"/>
          </w:tcPr>
          <w:p w14:paraId="391A696A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Direct model </w:t>
            </w:r>
          </w:p>
        </w:tc>
      </w:tr>
      <w:tr w:rsidR="00730573" w:rsidRPr="00025E10" w14:paraId="34C5AB1D" w14:textId="77777777" w:rsidTr="00340FAC">
        <w:tc>
          <w:tcPr>
            <w:tcW w:w="1299" w:type="pct"/>
            <w:shd w:val="clear" w:color="auto" w:fill="auto"/>
          </w:tcPr>
          <w:p w14:paraId="6274FEDE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b/>
                <w:bCs/>
                <w:color w:val="000000"/>
                <w:sz w:val="22"/>
                <w:lang w:eastAsia="en-AU"/>
              </w:rPr>
              <w:t xml:space="preserve">Bone density </w:t>
            </w:r>
          </w:p>
        </w:tc>
        <w:tc>
          <w:tcPr>
            <w:tcW w:w="1119" w:type="pct"/>
          </w:tcPr>
          <w:p w14:paraId="3D62769F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682" w:type="pct"/>
          </w:tcPr>
          <w:p w14:paraId="056D81CA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00" w:type="pct"/>
          </w:tcPr>
          <w:p w14:paraId="5518D58F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</w:p>
        </w:tc>
      </w:tr>
      <w:tr w:rsidR="00730573" w:rsidRPr="00025E10" w14:paraId="27FE89FC" w14:textId="77777777" w:rsidTr="00340FAC">
        <w:tc>
          <w:tcPr>
            <w:tcW w:w="1299" w:type="pct"/>
            <w:shd w:val="clear" w:color="auto" w:fill="auto"/>
          </w:tcPr>
          <w:p w14:paraId="1E423B0C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 xml:space="preserve">Total volumetric bone density </w:t>
            </w:r>
          </w:p>
        </w:tc>
        <w:tc>
          <w:tcPr>
            <w:tcW w:w="1119" w:type="pct"/>
          </w:tcPr>
          <w:p w14:paraId="6DE00815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Tt.vBMD </w:t>
            </w: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>(mg HA/cm</w:t>
            </w:r>
            <w:r w:rsidRPr="00025E10">
              <w:rPr>
                <w:rFonts w:asciiTheme="majorBidi" w:hAnsiTheme="majorBidi" w:cstheme="majorBidi"/>
                <w:color w:val="000000"/>
                <w:sz w:val="22"/>
                <w:vertAlign w:val="superscript"/>
                <w:lang w:eastAsia="en-AU"/>
              </w:rPr>
              <w:t>3</w:t>
            </w: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>)</w:t>
            </w:r>
          </w:p>
        </w:tc>
        <w:tc>
          <w:tcPr>
            <w:tcW w:w="1682" w:type="pct"/>
          </w:tcPr>
          <w:p w14:paraId="46A30DD5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The average volumetric density of total bone</w:t>
            </w:r>
          </w:p>
        </w:tc>
        <w:tc>
          <w:tcPr>
            <w:tcW w:w="900" w:type="pct"/>
          </w:tcPr>
          <w:p w14:paraId="7856761F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Direct model</w:t>
            </w:r>
          </w:p>
        </w:tc>
      </w:tr>
      <w:tr w:rsidR="00730573" w:rsidRPr="00025E10" w14:paraId="6AC40285" w14:textId="77777777" w:rsidTr="00340FAC">
        <w:tc>
          <w:tcPr>
            <w:tcW w:w="1299" w:type="pct"/>
            <w:shd w:val="clear" w:color="auto" w:fill="auto"/>
          </w:tcPr>
          <w:p w14:paraId="6B0052CC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 xml:space="preserve">Cortical volumetric bone density </w:t>
            </w:r>
          </w:p>
        </w:tc>
        <w:tc>
          <w:tcPr>
            <w:tcW w:w="1119" w:type="pct"/>
          </w:tcPr>
          <w:p w14:paraId="06755C8A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Ct.vBMD </w:t>
            </w: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>(mg HA/cm</w:t>
            </w:r>
            <w:r w:rsidRPr="00025E10">
              <w:rPr>
                <w:rFonts w:asciiTheme="majorBidi" w:hAnsiTheme="majorBidi" w:cstheme="majorBidi"/>
                <w:color w:val="000000"/>
                <w:sz w:val="22"/>
                <w:vertAlign w:val="superscript"/>
                <w:lang w:eastAsia="en-AU"/>
              </w:rPr>
              <w:t>3</w:t>
            </w: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>)</w:t>
            </w:r>
          </w:p>
        </w:tc>
        <w:tc>
          <w:tcPr>
            <w:tcW w:w="1682" w:type="pct"/>
          </w:tcPr>
          <w:p w14:paraId="5F6BDA7F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Average volumetric density within the</w:t>
            </w:r>
          </w:p>
          <w:p w14:paraId="47AA1519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cortical compartment</w:t>
            </w:r>
          </w:p>
        </w:tc>
        <w:tc>
          <w:tcPr>
            <w:tcW w:w="900" w:type="pct"/>
          </w:tcPr>
          <w:p w14:paraId="62F84D8D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Direct model</w:t>
            </w:r>
          </w:p>
        </w:tc>
      </w:tr>
      <w:tr w:rsidR="00730573" w:rsidRPr="00025E10" w14:paraId="2CD05C06" w14:textId="77777777" w:rsidTr="00340FAC">
        <w:tc>
          <w:tcPr>
            <w:tcW w:w="1299" w:type="pct"/>
            <w:shd w:val="clear" w:color="auto" w:fill="auto"/>
          </w:tcPr>
          <w:p w14:paraId="7CA1A285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 xml:space="preserve">Trabecular volumetric bone density </w:t>
            </w:r>
          </w:p>
        </w:tc>
        <w:tc>
          <w:tcPr>
            <w:tcW w:w="1119" w:type="pct"/>
          </w:tcPr>
          <w:p w14:paraId="5FE4D255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Tb.vBMD </w:t>
            </w: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>(mg HA/cm</w:t>
            </w:r>
            <w:r w:rsidRPr="00025E10">
              <w:rPr>
                <w:rFonts w:asciiTheme="majorBidi" w:hAnsiTheme="majorBidi" w:cstheme="majorBidi"/>
                <w:color w:val="000000"/>
                <w:sz w:val="22"/>
                <w:vertAlign w:val="superscript"/>
                <w:lang w:eastAsia="en-AU"/>
              </w:rPr>
              <w:t>3</w:t>
            </w: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>)</w:t>
            </w:r>
          </w:p>
        </w:tc>
        <w:tc>
          <w:tcPr>
            <w:tcW w:w="1682" w:type="pct"/>
          </w:tcPr>
          <w:p w14:paraId="6865F732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Average mineral density within the</w:t>
            </w:r>
          </w:p>
          <w:p w14:paraId="2AC91DB8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trabecular compartment</w:t>
            </w:r>
          </w:p>
        </w:tc>
        <w:tc>
          <w:tcPr>
            <w:tcW w:w="900" w:type="pct"/>
          </w:tcPr>
          <w:p w14:paraId="0085EC8C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Direct model</w:t>
            </w:r>
          </w:p>
        </w:tc>
      </w:tr>
      <w:tr w:rsidR="00730573" w:rsidRPr="00025E10" w14:paraId="03AC85AD" w14:textId="77777777" w:rsidTr="00340FAC">
        <w:tc>
          <w:tcPr>
            <w:tcW w:w="1299" w:type="pct"/>
            <w:shd w:val="clear" w:color="auto" w:fill="auto"/>
          </w:tcPr>
          <w:p w14:paraId="50672F9E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2"/>
                <w:lang w:eastAsia="en-AU"/>
              </w:rPr>
            </w:pPr>
            <w:r w:rsidRPr="00025E10">
              <w:rPr>
                <w:rFonts w:asciiTheme="majorBidi" w:hAnsiTheme="majorBidi" w:cstheme="majorBidi"/>
                <w:b/>
                <w:bCs/>
                <w:color w:val="000000"/>
                <w:sz w:val="22"/>
                <w:lang w:eastAsia="en-AU"/>
              </w:rPr>
              <w:t xml:space="preserve">Cortical bone microarchitecture </w:t>
            </w:r>
          </w:p>
        </w:tc>
        <w:tc>
          <w:tcPr>
            <w:tcW w:w="1119" w:type="pct"/>
          </w:tcPr>
          <w:p w14:paraId="219A92C9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682" w:type="pct"/>
          </w:tcPr>
          <w:p w14:paraId="41FDE4AA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00" w:type="pct"/>
          </w:tcPr>
          <w:p w14:paraId="443A17B6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</w:p>
        </w:tc>
      </w:tr>
      <w:tr w:rsidR="00730573" w:rsidRPr="00025E10" w14:paraId="26FB1572" w14:textId="77777777" w:rsidTr="00340FAC">
        <w:tc>
          <w:tcPr>
            <w:tcW w:w="1299" w:type="pct"/>
            <w:shd w:val="clear" w:color="auto" w:fill="auto"/>
          </w:tcPr>
          <w:p w14:paraId="0C90E830" w14:textId="45D08684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</w:pP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 xml:space="preserve">Cortical thickness </w:t>
            </w:r>
          </w:p>
        </w:tc>
        <w:tc>
          <w:tcPr>
            <w:tcW w:w="1119" w:type="pct"/>
          </w:tcPr>
          <w:p w14:paraId="2E281E9A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Ct.Th </w:t>
            </w: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>(mm)</w:t>
            </w:r>
          </w:p>
        </w:tc>
        <w:tc>
          <w:tcPr>
            <w:tcW w:w="1682" w:type="pct"/>
          </w:tcPr>
          <w:p w14:paraId="542AD761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Average thickness of the cortical compartment</w:t>
            </w:r>
          </w:p>
        </w:tc>
        <w:tc>
          <w:tcPr>
            <w:tcW w:w="900" w:type="pct"/>
          </w:tcPr>
          <w:p w14:paraId="0A95917D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Direct model </w:t>
            </w:r>
          </w:p>
        </w:tc>
      </w:tr>
      <w:tr w:rsidR="00730573" w:rsidRPr="00025E10" w14:paraId="213F0035" w14:textId="77777777" w:rsidTr="00340FAC">
        <w:tc>
          <w:tcPr>
            <w:tcW w:w="1299" w:type="pct"/>
            <w:shd w:val="clear" w:color="auto" w:fill="auto"/>
          </w:tcPr>
          <w:p w14:paraId="09727043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</w:pP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 xml:space="preserve">Cortical perimeter </w:t>
            </w:r>
          </w:p>
        </w:tc>
        <w:tc>
          <w:tcPr>
            <w:tcW w:w="1119" w:type="pct"/>
          </w:tcPr>
          <w:p w14:paraId="06497683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proofErr w:type="spellStart"/>
            <w:r w:rsidRPr="00025E10">
              <w:rPr>
                <w:rFonts w:asciiTheme="majorBidi" w:hAnsiTheme="majorBidi" w:cstheme="majorBidi"/>
                <w:sz w:val="22"/>
              </w:rPr>
              <w:t>Ct.Pm</w:t>
            </w:r>
            <w:proofErr w:type="spellEnd"/>
            <w:r w:rsidRPr="00025E10">
              <w:rPr>
                <w:rFonts w:asciiTheme="majorBidi" w:hAnsiTheme="majorBidi" w:cstheme="majorBidi"/>
                <w:sz w:val="22"/>
              </w:rPr>
              <w:t xml:space="preserve"> </w:t>
            </w: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>(mm)</w:t>
            </w:r>
          </w:p>
        </w:tc>
        <w:tc>
          <w:tcPr>
            <w:tcW w:w="1682" w:type="pct"/>
          </w:tcPr>
          <w:p w14:paraId="4B542D98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The average perimeter of selected or 110 slices</w:t>
            </w:r>
          </w:p>
        </w:tc>
        <w:tc>
          <w:tcPr>
            <w:tcW w:w="900" w:type="pct"/>
          </w:tcPr>
          <w:p w14:paraId="77660E49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Direct model </w:t>
            </w:r>
          </w:p>
        </w:tc>
      </w:tr>
      <w:tr w:rsidR="00730573" w:rsidRPr="00025E10" w14:paraId="5DA24D6A" w14:textId="77777777" w:rsidTr="00340FAC">
        <w:tc>
          <w:tcPr>
            <w:tcW w:w="1299" w:type="pct"/>
            <w:shd w:val="clear" w:color="auto" w:fill="auto"/>
          </w:tcPr>
          <w:p w14:paraId="08F7A422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b/>
                <w:bCs/>
                <w:color w:val="000000"/>
                <w:sz w:val="22"/>
                <w:lang w:eastAsia="en-AU"/>
              </w:rPr>
              <w:t>Trabecular bone microarchitecture</w:t>
            </w:r>
          </w:p>
        </w:tc>
        <w:tc>
          <w:tcPr>
            <w:tcW w:w="1119" w:type="pct"/>
          </w:tcPr>
          <w:p w14:paraId="1F606CA4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1682" w:type="pct"/>
          </w:tcPr>
          <w:p w14:paraId="5134A392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</w:p>
        </w:tc>
        <w:tc>
          <w:tcPr>
            <w:tcW w:w="900" w:type="pct"/>
          </w:tcPr>
          <w:p w14:paraId="6B7409A1" w14:textId="77777777" w:rsidR="00730573" w:rsidRPr="00025E10" w:rsidRDefault="00730573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</w:p>
        </w:tc>
      </w:tr>
      <w:tr w:rsidR="00632B58" w:rsidRPr="00025E10" w14:paraId="43E4568E" w14:textId="77777777" w:rsidTr="00340FAC">
        <w:tc>
          <w:tcPr>
            <w:tcW w:w="1299" w:type="pct"/>
            <w:shd w:val="clear" w:color="auto" w:fill="auto"/>
          </w:tcPr>
          <w:p w14:paraId="3680B2F3" w14:textId="2B42ABE3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 xml:space="preserve">Trabecular bone volume fraction </w:t>
            </w:r>
          </w:p>
        </w:tc>
        <w:tc>
          <w:tcPr>
            <w:tcW w:w="1119" w:type="pct"/>
          </w:tcPr>
          <w:p w14:paraId="025DED25" w14:textId="37C8F98F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Tb.BV/</w:t>
            </w:r>
            <w:proofErr w:type="spellStart"/>
            <w:r w:rsidRPr="00025E10">
              <w:rPr>
                <w:rFonts w:asciiTheme="majorBidi" w:hAnsiTheme="majorBidi" w:cstheme="majorBidi"/>
                <w:sz w:val="22"/>
              </w:rPr>
              <w:t>TV</w:t>
            </w:r>
            <w:r w:rsidRPr="00025E10">
              <w:rPr>
                <w:rFonts w:asciiTheme="majorBidi" w:hAnsiTheme="majorBidi" w:cstheme="majorBidi"/>
                <w:sz w:val="22"/>
                <w:vertAlign w:val="superscript"/>
              </w:rPr>
              <w:t>d</w:t>
            </w:r>
            <w:proofErr w:type="spellEnd"/>
            <w:r w:rsidRPr="00025E10">
              <w:rPr>
                <w:rFonts w:asciiTheme="majorBidi" w:hAnsiTheme="majorBidi" w:cstheme="majorBidi"/>
                <w:sz w:val="22"/>
              </w:rPr>
              <w:t xml:space="preserve"> </w:t>
            </w: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>(%)</w:t>
            </w:r>
          </w:p>
        </w:tc>
        <w:tc>
          <w:tcPr>
            <w:tcW w:w="1682" w:type="pct"/>
          </w:tcPr>
          <w:p w14:paraId="341AB17A" w14:textId="77777777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Ratio of segmented bone volume to total</w:t>
            </w:r>
          </w:p>
          <w:p w14:paraId="7F175694" w14:textId="77777777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volume of the trabecular</w:t>
            </w:r>
          </w:p>
          <w:p w14:paraId="685F6840" w14:textId="3D6173FC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compartment</w:t>
            </w:r>
          </w:p>
        </w:tc>
        <w:tc>
          <w:tcPr>
            <w:tcW w:w="900" w:type="pct"/>
          </w:tcPr>
          <w:p w14:paraId="2F2F47DB" w14:textId="5EAB6D13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Tb.vBMD/1200 mg HA/cm</w:t>
            </w:r>
            <w:r w:rsidRPr="00025E10">
              <w:rPr>
                <w:rFonts w:asciiTheme="majorBidi" w:hAnsiTheme="majorBidi" w:cstheme="majorBidi"/>
                <w:sz w:val="22"/>
                <w:vertAlign w:val="superscript"/>
              </w:rPr>
              <w:t>3</w:t>
            </w:r>
            <w:r w:rsidRPr="00025E10">
              <w:rPr>
                <w:rFonts w:asciiTheme="majorBidi" w:hAnsiTheme="majorBidi" w:cstheme="majorBidi"/>
                <w:sz w:val="22"/>
              </w:rPr>
              <w:t>)*100</w:t>
            </w:r>
          </w:p>
        </w:tc>
      </w:tr>
      <w:tr w:rsidR="00632B58" w:rsidRPr="00025E10" w14:paraId="2C5F6633" w14:textId="77777777" w:rsidTr="00340FAC">
        <w:tc>
          <w:tcPr>
            <w:tcW w:w="1299" w:type="pct"/>
            <w:shd w:val="clear" w:color="auto" w:fill="auto"/>
          </w:tcPr>
          <w:p w14:paraId="29D94FB1" w14:textId="71846CA2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 xml:space="preserve">Trabecular number </w:t>
            </w:r>
          </w:p>
        </w:tc>
        <w:tc>
          <w:tcPr>
            <w:tcW w:w="1119" w:type="pct"/>
          </w:tcPr>
          <w:p w14:paraId="10D3056E" w14:textId="004870ED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Tb.N </w:t>
            </w: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>(1/mm)</w:t>
            </w:r>
          </w:p>
        </w:tc>
        <w:tc>
          <w:tcPr>
            <w:tcW w:w="1682" w:type="pct"/>
          </w:tcPr>
          <w:p w14:paraId="0A84156C" w14:textId="7620E120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Number of trabecular in 1 mm</w:t>
            </w:r>
          </w:p>
        </w:tc>
        <w:tc>
          <w:tcPr>
            <w:tcW w:w="900" w:type="pct"/>
          </w:tcPr>
          <w:p w14:paraId="08367627" w14:textId="66698F32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Direct model </w:t>
            </w:r>
          </w:p>
        </w:tc>
      </w:tr>
      <w:tr w:rsidR="00632B58" w:rsidRPr="00025E10" w14:paraId="340BE923" w14:textId="77777777" w:rsidTr="00340FAC">
        <w:tc>
          <w:tcPr>
            <w:tcW w:w="1299" w:type="pct"/>
            <w:shd w:val="clear" w:color="auto" w:fill="auto"/>
          </w:tcPr>
          <w:p w14:paraId="62E0768F" w14:textId="7AA76214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 xml:space="preserve">Trabecular thickness </w:t>
            </w:r>
          </w:p>
        </w:tc>
        <w:tc>
          <w:tcPr>
            <w:tcW w:w="1119" w:type="pct"/>
          </w:tcPr>
          <w:p w14:paraId="58314974" w14:textId="026A8F35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Tb.Th </w:t>
            </w: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>(mm)</w:t>
            </w:r>
          </w:p>
        </w:tc>
        <w:tc>
          <w:tcPr>
            <w:tcW w:w="1682" w:type="pct"/>
          </w:tcPr>
          <w:p w14:paraId="75DBCA7E" w14:textId="4D049422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Average thickness of trabeculae</w:t>
            </w:r>
          </w:p>
        </w:tc>
        <w:tc>
          <w:tcPr>
            <w:tcW w:w="900" w:type="pct"/>
          </w:tcPr>
          <w:p w14:paraId="0BF43E6F" w14:textId="43B3B8D1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Direct model </w:t>
            </w:r>
          </w:p>
        </w:tc>
      </w:tr>
      <w:tr w:rsidR="00632B58" w:rsidRPr="00025E10" w14:paraId="3423B489" w14:textId="77777777" w:rsidTr="00340FAC">
        <w:tc>
          <w:tcPr>
            <w:tcW w:w="1299" w:type="pct"/>
            <w:shd w:val="clear" w:color="auto" w:fill="auto"/>
          </w:tcPr>
          <w:p w14:paraId="47FBC220" w14:textId="2612B8D2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 xml:space="preserve">Trabecular separation </w:t>
            </w:r>
          </w:p>
        </w:tc>
        <w:tc>
          <w:tcPr>
            <w:tcW w:w="1119" w:type="pct"/>
          </w:tcPr>
          <w:p w14:paraId="20531A5F" w14:textId="077B63DF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Tb.Sp </w:t>
            </w: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>(mm)</w:t>
            </w:r>
          </w:p>
        </w:tc>
        <w:tc>
          <w:tcPr>
            <w:tcW w:w="1682" w:type="pct"/>
          </w:tcPr>
          <w:p w14:paraId="0B318324" w14:textId="265524B7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The average separation between the trabeculae</w:t>
            </w:r>
          </w:p>
        </w:tc>
        <w:tc>
          <w:tcPr>
            <w:tcW w:w="900" w:type="pct"/>
          </w:tcPr>
          <w:p w14:paraId="0580AAC3" w14:textId="42527B8F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 xml:space="preserve">Direct model </w:t>
            </w:r>
          </w:p>
        </w:tc>
      </w:tr>
      <w:tr w:rsidR="00632B58" w:rsidRPr="00025E10" w14:paraId="5B9D9A3B" w14:textId="77777777" w:rsidTr="00340FAC">
        <w:tc>
          <w:tcPr>
            <w:tcW w:w="1299" w:type="pct"/>
            <w:tcBorders>
              <w:bottom w:val="single" w:sz="4" w:space="0" w:color="auto"/>
            </w:tcBorders>
            <w:shd w:val="clear" w:color="auto" w:fill="auto"/>
          </w:tcPr>
          <w:p w14:paraId="58D1C05D" w14:textId="47FCE91A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 xml:space="preserve">Inhomogeneity of trabecular network </w:t>
            </w:r>
          </w:p>
        </w:tc>
        <w:tc>
          <w:tcPr>
            <w:tcW w:w="1119" w:type="pct"/>
            <w:tcBorders>
              <w:bottom w:val="single" w:sz="4" w:space="0" w:color="auto"/>
            </w:tcBorders>
          </w:tcPr>
          <w:p w14:paraId="01CD8C67" w14:textId="7F0E2DFC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Tb.1/</w:t>
            </w:r>
            <w:proofErr w:type="spellStart"/>
            <w:r w:rsidRPr="00025E10">
              <w:rPr>
                <w:rFonts w:asciiTheme="majorBidi" w:hAnsiTheme="majorBidi" w:cstheme="majorBidi"/>
                <w:sz w:val="22"/>
              </w:rPr>
              <w:t>N.SD</w:t>
            </w:r>
            <w:r w:rsidRPr="00025E10">
              <w:rPr>
                <w:rFonts w:asciiTheme="majorBidi" w:hAnsiTheme="majorBidi" w:cstheme="majorBidi"/>
                <w:sz w:val="22"/>
                <w:vertAlign w:val="superscript"/>
              </w:rPr>
              <w:t>d</w:t>
            </w:r>
            <w:proofErr w:type="spellEnd"/>
            <w:r w:rsidRPr="00025E10">
              <w:rPr>
                <w:rFonts w:asciiTheme="majorBidi" w:hAnsiTheme="majorBidi" w:cstheme="majorBidi"/>
                <w:sz w:val="22"/>
              </w:rPr>
              <w:t xml:space="preserve"> </w:t>
            </w:r>
            <w:r w:rsidRPr="00025E10">
              <w:rPr>
                <w:rFonts w:asciiTheme="majorBidi" w:hAnsiTheme="majorBidi" w:cstheme="majorBidi"/>
                <w:color w:val="000000"/>
                <w:sz w:val="22"/>
                <w:lang w:eastAsia="en-AU"/>
              </w:rPr>
              <w:t>(mm)</w:t>
            </w:r>
          </w:p>
        </w:tc>
        <w:tc>
          <w:tcPr>
            <w:tcW w:w="1682" w:type="pct"/>
            <w:tcBorders>
              <w:bottom w:val="single" w:sz="4" w:space="0" w:color="auto"/>
            </w:tcBorders>
          </w:tcPr>
          <w:p w14:paraId="507C93CB" w14:textId="77777777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Measure of inhomogeneity of trabecular</w:t>
            </w:r>
          </w:p>
          <w:p w14:paraId="458FEC03" w14:textId="563EA145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separation</w:t>
            </w:r>
          </w:p>
        </w:tc>
        <w:tc>
          <w:tcPr>
            <w:tcW w:w="900" w:type="pct"/>
            <w:tcBorders>
              <w:bottom w:val="single" w:sz="4" w:space="0" w:color="auto"/>
            </w:tcBorders>
          </w:tcPr>
          <w:p w14:paraId="3D5E0975" w14:textId="78D65727" w:rsidR="00632B58" w:rsidRPr="00025E10" w:rsidRDefault="00632B58" w:rsidP="00025E10">
            <w:pPr>
              <w:spacing w:line="240" w:lineRule="auto"/>
              <w:rPr>
                <w:rFonts w:asciiTheme="majorBidi" w:hAnsiTheme="majorBidi" w:cstheme="majorBidi"/>
                <w:sz w:val="22"/>
              </w:rPr>
            </w:pPr>
            <w:r w:rsidRPr="00025E10">
              <w:rPr>
                <w:rFonts w:asciiTheme="majorBidi" w:hAnsiTheme="majorBidi" w:cstheme="majorBidi"/>
                <w:sz w:val="22"/>
              </w:rPr>
              <w:t>Standard Deviation of 1/Tb.N</w:t>
            </w:r>
          </w:p>
        </w:tc>
      </w:tr>
    </w:tbl>
    <w:p w14:paraId="09D9EB0E" w14:textId="641890AC" w:rsidR="00967441" w:rsidRDefault="005C2F94" w:rsidP="005C2F94">
      <w:r w:rsidRPr="00BB1AD6">
        <w:rPr>
          <w:vertAlign w:val="superscript"/>
        </w:rPr>
        <w:t>d</w:t>
      </w:r>
      <w:r w:rsidRPr="00BB1AD6">
        <w:t xml:space="preserve"> </w:t>
      </w:r>
      <w:r>
        <w:t>parameters</w:t>
      </w:r>
      <w:r w:rsidRPr="00BB1AD6">
        <w:t xml:space="preserve"> </w:t>
      </w:r>
      <w:r>
        <w:t>were calculated using</w:t>
      </w:r>
      <w:r w:rsidRPr="00BB1AD6">
        <w:t xml:space="preserve"> the derived measurement method</w:t>
      </w:r>
      <w:r>
        <w:t>.</w:t>
      </w:r>
      <w:bookmarkEnd w:id="1"/>
    </w:p>
    <w:sectPr w:rsidR="00967441" w:rsidSect="00B61AC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AB4F7" w14:textId="77777777" w:rsidR="002F3A77" w:rsidRDefault="002F3A77" w:rsidP="005C2F94">
      <w:pPr>
        <w:spacing w:after="0" w:line="240" w:lineRule="auto"/>
      </w:pPr>
      <w:r>
        <w:separator/>
      </w:r>
    </w:p>
  </w:endnote>
  <w:endnote w:type="continuationSeparator" w:id="0">
    <w:p w14:paraId="0F66C6DD" w14:textId="77777777" w:rsidR="002F3A77" w:rsidRDefault="002F3A77" w:rsidP="005C2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420F8" w14:textId="77777777" w:rsidR="002F3A77" w:rsidRDefault="002F3A77" w:rsidP="005C2F94">
      <w:pPr>
        <w:spacing w:after="0" w:line="240" w:lineRule="auto"/>
      </w:pPr>
      <w:r>
        <w:separator/>
      </w:r>
    </w:p>
  </w:footnote>
  <w:footnote w:type="continuationSeparator" w:id="0">
    <w:p w14:paraId="209EE3CA" w14:textId="77777777" w:rsidR="002F3A77" w:rsidRDefault="002F3A77" w:rsidP="005C2F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0MbOwsDS0NLcwMbVQ0lEKTi0uzszPAykwqQUA624MrSwAAAA="/>
  </w:docVars>
  <w:rsids>
    <w:rsidRoot w:val="001B15A7"/>
    <w:rsid w:val="00000A4F"/>
    <w:rsid w:val="00025E10"/>
    <w:rsid w:val="0002735A"/>
    <w:rsid w:val="000A07C3"/>
    <w:rsid w:val="000D7553"/>
    <w:rsid w:val="000E76E3"/>
    <w:rsid w:val="0015320E"/>
    <w:rsid w:val="001B15A7"/>
    <w:rsid w:val="001D589B"/>
    <w:rsid w:val="00220387"/>
    <w:rsid w:val="00250495"/>
    <w:rsid w:val="0026150E"/>
    <w:rsid w:val="002B5B42"/>
    <w:rsid w:val="002F1874"/>
    <w:rsid w:val="002F3A77"/>
    <w:rsid w:val="00317BDC"/>
    <w:rsid w:val="00340FAC"/>
    <w:rsid w:val="003654E9"/>
    <w:rsid w:val="00370454"/>
    <w:rsid w:val="003D65F8"/>
    <w:rsid w:val="003E5808"/>
    <w:rsid w:val="00433F83"/>
    <w:rsid w:val="004D44BD"/>
    <w:rsid w:val="004F1472"/>
    <w:rsid w:val="00595606"/>
    <w:rsid w:val="005B75FC"/>
    <w:rsid w:val="005C2F94"/>
    <w:rsid w:val="005E5D95"/>
    <w:rsid w:val="00603935"/>
    <w:rsid w:val="00610A4C"/>
    <w:rsid w:val="00632B58"/>
    <w:rsid w:val="0064757D"/>
    <w:rsid w:val="00670943"/>
    <w:rsid w:val="00687BBB"/>
    <w:rsid w:val="00694A94"/>
    <w:rsid w:val="006C2FDE"/>
    <w:rsid w:val="006E5947"/>
    <w:rsid w:val="00713ED9"/>
    <w:rsid w:val="00730573"/>
    <w:rsid w:val="00777370"/>
    <w:rsid w:val="00784309"/>
    <w:rsid w:val="007F1969"/>
    <w:rsid w:val="00845AAE"/>
    <w:rsid w:val="00861982"/>
    <w:rsid w:val="008A13A4"/>
    <w:rsid w:val="008B4EA3"/>
    <w:rsid w:val="008C2659"/>
    <w:rsid w:val="009B6CDE"/>
    <w:rsid w:val="009E5F91"/>
    <w:rsid w:val="00A0760C"/>
    <w:rsid w:val="00A8122E"/>
    <w:rsid w:val="00AA4C0E"/>
    <w:rsid w:val="00AC520F"/>
    <w:rsid w:val="00B02004"/>
    <w:rsid w:val="00B14751"/>
    <w:rsid w:val="00B23450"/>
    <w:rsid w:val="00B61AC7"/>
    <w:rsid w:val="00B70F7A"/>
    <w:rsid w:val="00B860FE"/>
    <w:rsid w:val="00B94253"/>
    <w:rsid w:val="00BC5437"/>
    <w:rsid w:val="00BD1445"/>
    <w:rsid w:val="00BF61DE"/>
    <w:rsid w:val="00C20124"/>
    <w:rsid w:val="00C20981"/>
    <w:rsid w:val="00C31872"/>
    <w:rsid w:val="00C96010"/>
    <w:rsid w:val="00CD5C1F"/>
    <w:rsid w:val="00D139F2"/>
    <w:rsid w:val="00D35940"/>
    <w:rsid w:val="00D747D8"/>
    <w:rsid w:val="00D8180D"/>
    <w:rsid w:val="00D95F4E"/>
    <w:rsid w:val="00DA2836"/>
    <w:rsid w:val="00DC6818"/>
    <w:rsid w:val="00DE62E7"/>
    <w:rsid w:val="00E55136"/>
    <w:rsid w:val="00E5668E"/>
    <w:rsid w:val="00F35B65"/>
    <w:rsid w:val="00F5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F55130"/>
  <w15:chartTrackingRefBased/>
  <w15:docId w15:val="{78DEB27D-F201-41FE-98D1-21A8FB15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en-AU" w:eastAsia="zh-CN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F94"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2F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F94"/>
  </w:style>
  <w:style w:type="paragraph" w:styleId="Footer">
    <w:name w:val="footer"/>
    <w:basedOn w:val="Normal"/>
    <w:link w:val="FooterChar"/>
    <w:uiPriority w:val="99"/>
    <w:unhideWhenUsed/>
    <w:rsid w:val="005C2F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F94"/>
  </w:style>
  <w:style w:type="table" w:styleId="TableGrid">
    <w:name w:val="Table Grid"/>
    <w:basedOn w:val="TableNormal"/>
    <w:uiPriority w:val="39"/>
    <w:rsid w:val="005C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203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Canchen Ma</dc:creator>
  <cp:keywords/>
  <dc:description/>
  <cp:lastModifiedBy>Canchen Ma</cp:lastModifiedBy>
  <cp:revision>2</cp:revision>
  <dcterms:created xsi:type="dcterms:W3CDTF">2022-05-20T02:55:00Z</dcterms:created>
  <dcterms:modified xsi:type="dcterms:W3CDTF">2022-05-20T02:55:00Z</dcterms:modified>
</cp:coreProperties>
</file>