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B7C" w:rsidRDefault="0003186D">
      <w:pPr>
        <w:pStyle w:val="Title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Supplementary material</w:t>
      </w:r>
    </w:p>
    <w:p w:rsidR="00E22B7C" w:rsidRDefault="000318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Contents</w:t>
      </w:r>
    </w:p>
    <w:p w:rsidR="00E22B7C" w:rsidRDefault="000318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Supplementary Figures</w:t>
      </w:r>
    </w:p>
    <w:p w:rsidR="00E22B7C" w:rsidRDefault="0003186D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Supplementary Fig. 1 </w:t>
      </w:r>
      <w:r>
        <w:rPr>
          <w:rFonts w:ascii="Times New Roman" w:hAnsi="Times New Roman" w:hint="eastAsia"/>
          <w:color w:val="000000" w:themeColor="text1"/>
          <w:sz w:val="24"/>
        </w:rPr>
        <w:t>FTO knockdown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 xml:space="preserve">aggravated </w:t>
      </w:r>
      <w:r>
        <w:rPr>
          <w:rFonts w:ascii="Times New Roman" w:hAnsi="Times New Roman"/>
          <w:color w:val="000000" w:themeColor="text1"/>
          <w:sz w:val="24"/>
        </w:rPr>
        <w:t>LPS-induced chondrocyte damage</w:t>
      </w:r>
      <w:r>
        <w:rPr>
          <w:rFonts w:ascii="Times New Roman" w:hAnsi="Times New Roman"/>
          <w:i/>
          <w:color w:val="000000" w:themeColor="text1"/>
          <w:sz w:val="24"/>
        </w:rPr>
        <w:t xml:space="preserve"> in vitro</w:t>
      </w:r>
      <w:r>
        <w:rPr>
          <w:rFonts w:ascii="Times New Roman" w:hAnsi="Times New Roman"/>
          <w:color w:val="000000" w:themeColor="text1"/>
          <w:sz w:val="24"/>
        </w:rPr>
        <w:t xml:space="preserve">. </w:t>
      </w:r>
    </w:p>
    <w:p w:rsidR="00E22B7C" w:rsidRDefault="0003186D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Supplementary Fig. 2 </w:t>
      </w:r>
      <w:r>
        <w:rPr>
          <w:rFonts w:ascii="Times New Roman" w:hAnsi="Times New Roman" w:hint="eastAsia"/>
          <w:color w:val="000000" w:themeColor="text1"/>
          <w:sz w:val="24"/>
        </w:rPr>
        <w:t xml:space="preserve">miR-3591-5p overexpression aggravated LPS-induced chondrocytes damage by inhibiting </w:t>
      </w:r>
      <w:r>
        <w:rPr>
          <w:rFonts w:ascii="Times New Roman" w:hAnsi="Times New Roman" w:hint="eastAsia"/>
          <w:color w:val="000000" w:themeColor="text1"/>
          <w:sz w:val="24"/>
        </w:rPr>
        <w:t>PRKAA2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:rsidR="00E22B7C" w:rsidRDefault="000318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Supplementary Tables</w:t>
      </w:r>
    </w:p>
    <w:p w:rsidR="00E22B7C" w:rsidRDefault="0003186D">
      <w:pPr>
        <w:spacing w:line="480" w:lineRule="auto"/>
        <w:rPr>
          <w:rFonts w:ascii="Times New Roman" w:eastAsia="SimSun" w:hAnsi="Times New Roman"/>
          <w:bCs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1</w:t>
      </w:r>
      <w:r>
        <w:rPr>
          <w:rFonts w:ascii="Times New Roman" w:eastAsia="SimSun" w:hAnsi="Times New Roman"/>
          <w:bCs/>
          <w:color w:val="000000" w:themeColor="text1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bCs/>
          <w:color w:val="000000" w:themeColor="text1"/>
          <w:kern w:val="0"/>
          <w:sz w:val="24"/>
          <w:szCs w:val="24"/>
        </w:rPr>
        <w:t>The</w:t>
      </w:r>
      <w:proofErr w:type="gramEnd"/>
      <w:r>
        <w:rPr>
          <w:rFonts w:ascii="Times New Roman" w:eastAsia="SimSun" w:hAnsi="Times New Roman"/>
          <w:bCs/>
          <w:color w:val="000000" w:themeColor="text1"/>
          <w:kern w:val="0"/>
          <w:sz w:val="24"/>
          <w:szCs w:val="24"/>
        </w:rPr>
        <w:t xml:space="preserve"> sequences of </w:t>
      </w:r>
      <w:proofErr w:type="spellStart"/>
      <w:r>
        <w:rPr>
          <w:rFonts w:ascii="Times New Roman" w:eastAsia="SimSun" w:hAnsi="Times New Roman"/>
          <w:bCs/>
          <w:color w:val="000000" w:themeColor="text1"/>
          <w:kern w:val="0"/>
          <w:sz w:val="24"/>
          <w:szCs w:val="24"/>
        </w:rPr>
        <w:t>shRNAs</w:t>
      </w:r>
      <w:proofErr w:type="spellEnd"/>
      <w:r>
        <w:rPr>
          <w:rFonts w:ascii="Times New Roman" w:eastAsia="SimSun" w:hAnsi="Times New Roman" w:hint="eastAsia"/>
          <w:bCs/>
          <w:color w:val="000000" w:themeColor="text1"/>
          <w:kern w:val="0"/>
          <w:sz w:val="24"/>
          <w:szCs w:val="24"/>
        </w:rPr>
        <w:t xml:space="preserve">, </w:t>
      </w:r>
      <w:r>
        <w:rPr>
          <w:rFonts w:ascii="Times New Roman" w:eastAsia="SimSun" w:hAnsi="Times New Roman"/>
          <w:bCs/>
          <w:color w:val="000000" w:themeColor="text1"/>
          <w:kern w:val="0"/>
          <w:sz w:val="24"/>
          <w:szCs w:val="24"/>
        </w:rPr>
        <w:t>miR-3591</w:t>
      </w:r>
      <w:r>
        <w:rPr>
          <w:rFonts w:ascii="Times New Roman" w:hAnsi="Times New Roman" w:hint="eastAsia"/>
          <w:color w:val="000000" w:themeColor="text1"/>
          <w:sz w:val="24"/>
        </w:rPr>
        <w:t>-5p</w:t>
      </w:r>
      <w:r>
        <w:rPr>
          <w:rFonts w:ascii="Times New Roman" w:eastAsia="SimSun" w:hAnsi="Times New Roman"/>
          <w:bCs/>
          <w:color w:val="000000" w:themeColor="text1"/>
          <w:kern w:val="0"/>
          <w:sz w:val="24"/>
          <w:szCs w:val="24"/>
        </w:rPr>
        <w:t xml:space="preserve"> inhibitor/mimics</w:t>
      </w:r>
      <w:r>
        <w:rPr>
          <w:rFonts w:ascii="Times New Roman" w:eastAsia="SimSun" w:hAnsi="Times New Roman" w:hint="eastAsia"/>
          <w:bCs/>
          <w:color w:val="000000" w:themeColor="text1"/>
          <w:kern w:val="0"/>
          <w:sz w:val="24"/>
          <w:szCs w:val="24"/>
        </w:rPr>
        <w:t xml:space="preserve">, and their negative control </w:t>
      </w:r>
      <w:r>
        <w:rPr>
          <w:rFonts w:ascii="Times New Roman" w:eastAsia="SimSun" w:hAnsi="Times New Roman"/>
          <w:bCs/>
          <w:color w:val="000000" w:themeColor="text1"/>
          <w:kern w:val="0"/>
          <w:sz w:val="24"/>
          <w:szCs w:val="24"/>
        </w:rPr>
        <w:t>in this study.</w:t>
      </w:r>
    </w:p>
    <w:p w:rsidR="00E22B7C" w:rsidRDefault="0003186D">
      <w:pPr>
        <w:widowControl/>
        <w:spacing w:line="360" w:lineRule="auto"/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2</w:t>
      </w:r>
      <w:r>
        <w:rPr>
          <w:rFonts w:ascii="Times New Roman" w:eastAsia="SimSun" w:hAnsi="Times New Roman"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SimSun" w:hAnsi="Times New Roman" w:hint="eastAsia"/>
          <w:bCs/>
          <w:color w:val="000000" w:themeColor="text1"/>
          <w:kern w:val="0"/>
          <w:sz w:val="24"/>
          <w:szCs w:val="24"/>
        </w:rPr>
        <w:t>P</w:t>
      </w:r>
      <w:r>
        <w:rPr>
          <w:rFonts w:ascii="Times New Roman" w:eastAsia="SimSun" w:hAnsi="Times New Roman"/>
          <w:bCs/>
          <w:color w:val="000000" w:themeColor="text1"/>
          <w:kern w:val="0"/>
          <w:sz w:val="24"/>
          <w:szCs w:val="24"/>
        </w:rPr>
        <w:t>rimer</w:t>
      </w:r>
      <w:r>
        <w:rPr>
          <w:rFonts w:ascii="Times New Roman" w:eastAsia="SimSun" w:hAnsi="Times New Roman" w:hint="eastAsia"/>
          <w:bCs/>
          <w:color w:val="000000" w:themeColor="text1"/>
          <w:kern w:val="0"/>
          <w:sz w:val="24"/>
          <w:szCs w:val="24"/>
        </w:rPr>
        <w:t>s used for</w:t>
      </w:r>
      <w:r>
        <w:rPr>
          <w:rFonts w:ascii="Times New Roman" w:eastAsia="SimSun" w:hAnsi="Times New Roman"/>
          <w:bCs/>
          <w:color w:val="000000" w:themeColor="text1"/>
          <w:kern w:val="0"/>
          <w:sz w:val="24"/>
          <w:szCs w:val="24"/>
        </w:rPr>
        <w:t xml:space="preserve"> RT-qPCR</w:t>
      </w:r>
      <w:r>
        <w:rPr>
          <w:rFonts w:ascii="Times New Roman" w:eastAsia="SimSun" w:hAnsi="Times New Roman" w:hint="eastAsia"/>
          <w:bCs/>
          <w:color w:val="000000" w:themeColor="text1"/>
          <w:kern w:val="0"/>
          <w:sz w:val="24"/>
          <w:szCs w:val="24"/>
        </w:rPr>
        <w:t xml:space="preserve"> and other assays in this study</w:t>
      </w:r>
      <w:r>
        <w:rPr>
          <w:rFonts w:ascii="Times New Roman" w:eastAsia="SimSun" w:hAnsi="Times New Roman"/>
          <w:bCs/>
          <w:color w:val="000000" w:themeColor="text1"/>
          <w:kern w:val="0"/>
          <w:sz w:val="24"/>
          <w:szCs w:val="24"/>
        </w:rPr>
        <w:t>.</w:t>
      </w:r>
    </w:p>
    <w:p w:rsidR="00E22B7C" w:rsidRDefault="00E22B7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22B7C" w:rsidRDefault="0003186D">
      <w:r>
        <w:br w:type="page"/>
      </w:r>
    </w:p>
    <w:p w:rsidR="00E22B7C" w:rsidRDefault="0003186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Supplementary </w:t>
      </w:r>
      <w:r>
        <w:rPr>
          <w:rFonts w:ascii="Times New Roman" w:hAnsi="Times New Roman" w:cs="Times New Roman"/>
          <w:b/>
          <w:sz w:val="24"/>
          <w:szCs w:val="24"/>
        </w:rPr>
        <w:t>Figures</w:t>
      </w:r>
    </w:p>
    <w:p w:rsidR="00E22B7C" w:rsidRDefault="000318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w:drawing>
          <wp:inline distT="0" distB="0" distL="114300" distR="114300">
            <wp:extent cx="5273675" cy="6628765"/>
            <wp:effectExtent l="0" t="0" r="3175" b="635"/>
            <wp:docPr id="3" name="图片 3" descr="Figure S1(CMY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1(CMYK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62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B7C" w:rsidRDefault="0003186D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Supplementary Fig. 1 </w:t>
      </w:r>
      <w:bookmarkStart w:id="1" w:name="OLE_LINK28"/>
      <w:r>
        <w:rPr>
          <w:rFonts w:ascii="Times New Roman" w:hAnsi="Times New Roman" w:hint="eastAsia"/>
          <w:b/>
          <w:color w:val="000000" w:themeColor="text1"/>
          <w:sz w:val="24"/>
        </w:rPr>
        <w:t>FTO knockdown</w:t>
      </w:r>
      <w:r>
        <w:rPr>
          <w:rFonts w:ascii="Times New Roman" w:hAnsi="Times New Roman"/>
          <w:b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b/>
          <w:color w:val="000000" w:themeColor="text1"/>
          <w:sz w:val="24"/>
        </w:rPr>
        <w:t xml:space="preserve">aggravated </w:t>
      </w:r>
      <w:r>
        <w:rPr>
          <w:rFonts w:ascii="Times New Roman" w:hAnsi="Times New Roman"/>
          <w:b/>
          <w:color w:val="000000" w:themeColor="text1"/>
          <w:sz w:val="24"/>
        </w:rPr>
        <w:t>LPS-induced chondrocyte damage</w:t>
      </w:r>
      <w:r>
        <w:rPr>
          <w:rFonts w:ascii="Times New Roman" w:hAnsi="Times New Roman"/>
          <w:b/>
          <w:i/>
          <w:color w:val="000000" w:themeColor="text1"/>
          <w:sz w:val="24"/>
        </w:rPr>
        <w:t xml:space="preserve"> in vitro</w:t>
      </w:r>
      <w:r>
        <w:rPr>
          <w:rFonts w:ascii="Times New Roman" w:hAnsi="Times New Roman"/>
          <w:b/>
          <w:color w:val="000000" w:themeColor="text1"/>
          <w:sz w:val="24"/>
        </w:rPr>
        <w:t>.</w:t>
      </w:r>
      <w:bookmarkEnd w:id="1"/>
      <w:r>
        <w:rPr>
          <w:rFonts w:ascii="Times New Roman" w:hAnsi="Times New Roman"/>
          <w:color w:val="000000" w:themeColor="text1"/>
          <w:sz w:val="24"/>
        </w:rPr>
        <w:t xml:space="preserve"> Chondrocytes were transfected with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sh</w:t>
      </w:r>
      <w:r>
        <w:rPr>
          <w:rFonts w:ascii="Times New Roman" w:hAnsi="Times New Roman"/>
          <w:color w:val="000000" w:themeColor="text1"/>
          <w:sz w:val="24"/>
        </w:rPr>
        <w:t>FTO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or </w:t>
      </w:r>
      <w:bookmarkStart w:id="2" w:name="OLE_LINK29"/>
      <w:proofErr w:type="spellStart"/>
      <w:r>
        <w:rPr>
          <w:rFonts w:ascii="Times New Roman" w:hAnsi="Times New Roman" w:hint="eastAsia"/>
          <w:color w:val="000000" w:themeColor="text1"/>
          <w:sz w:val="24"/>
        </w:rPr>
        <w:t>shNC</w:t>
      </w:r>
      <w:bookmarkEnd w:id="2"/>
      <w:proofErr w:type="spellEnd"/>
      <w:r>
        <w:rPr>
          <w:rFonts w:ascii="Times New Roman" w:hAnsi="Times New Roman"/>
          <w:color w:val="000000" w:themeColor="text1"/>
          <w:sz w:val="24"/>
        </w:rPr>
        <w:t>, and then treated with 40 ng/mL LPS for 24 h</w:t>
      </w:r>
      <w:proofErr w:type="gramStart"/>
      <w:r>
        <w:rPr>
          <w:rFonts w:ascii="Times New Roman" w:hAnsi="Times New Roman" w:hint="eastAsia"/>
          <w:color w:val="000000" w:themeColor="text1"/>
          <w:sz w:val="24"/>
        </w:rPr>
        <w:t xml:space="preserve">.  </w:t>
      </w:r>
      <w:proofErr w:type="gramEnd"/>
      <w:r>
        <w:rPr>
          <w:rFonts w:ascii="Times New Roman" w:hAnsi="Times New Roman"/>
          <w:color w:val="000000" w:themeColor="text1"/>
          <w:sz w:val="24"/>
        </w:rPr>
        <w:t>(</w:t>
      </w:r>
      <w:r>
        <w:rPr>
          <w:rFonts w:ascii="Times New Roman" w:hAnsi="Times New Roman"/>
          <w:b/>
          <w:color w:val="000000" w:themeColor="text1"/>
          <w:sz w:val="24"/>
        </w:rPr>
        <w:t>A</w:t>
      </w:r>
      <w:r>
        <w:rPr>
          <w:rFonts w:ascii="Times New Roman" w:hAnsi="Times New Roman"/>
          <w:color w:val="000000" w:themeColor="text1"/>
          <w:sz w:val="24"/>
        </w:rPr>
        <w:t>) RT-qPCR and western blot</w:t>
      </w:r>
      <w:r>
        <w:rPr>
          <w:rFonts w:ascii="Times New Roman" w:hAnsi="Times New Roman" w:hint="eastAsia"/>
          <w:color w:val="000000" w:themeColor="text1"/>
          <w:sz w:val="24"/>
        </w:rPr>
        <w:t xml:space="preserve"> were carried out to confirm the infection efficiency of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shFTO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 and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shNC</w:t>
      </w:r>
      <w:proofErr w:type="spellEnd"/>
      <w:r>
        <w:rPr>
          <w:rFonts w:ascii="Times New Roman" w:hAnsi="Times New Roman"/>
          <w:color w:val="000000" w:themeColor="text1"/>
          <w:sz w:val="24"/>
        </w:rPr>
        <w:t>. (</w:t>
      </w:r>
      <w:r>
        <w:rPr>
          <w:rFonts w:ascii="Times New Roman" w:hAnsi="Times New Roman" w:hint="eastAsia"/>
          <w:b/>
          <w:color w:val="000000" w:themeColor="text1"/>
          <w:sz w:val="24"/>
        </w:rPr>
        <w:t>B</w:t>
      </w:r>
      <w:r>
        <w:rPr>
          <w:rFonts w:ascii="Times New Roman" w:hAnsi="Times New Roman"/>
          <w:color w:val="000000" w:themeColor="text1"/>
          <w:sz w:val="24"/>
        </w:rPr>
        <w:t>) CCK</w:t>
      </w:r>
      <w:r>
        <w:rPr>
          <w:rFonts w:ascii="Times New Roman" w:hAnsi="Times New Roman" w:hint="eastAsia"/>
          <w:color w:val="000000" w:themeColor="text1"/>
          <w:sz w:val="24"/>
        </w:rPr>
        <w:t>-</w:t>
      </w:r>
      <w:r>
        <w:rPr>
          <w:rFonts w:ascii="Times New Roman" w:hAnsi="Times New Roman"/>
          <w:color w:val="000000" w:themeColor="text1"/>
          <w:sz w:val="24"/>
        </w:rPr>
        <w:t xml:space="preserve">8 </w:t>
      </w:r>
      <w:r>
        <w:rPr>
          <w:rFonts w:ascii="Times New Roman" w:hAnsi="Times New Roman" w:hint="eastAsia"/>
          <w:color w:val="000000" w:themeColor="text1"/>
          <w:sz w:val="24"/>
        </w:rPr>
        <w:t>was assessed</w:t>
      </w:r>
      <w:r>
        <w:rPr>
          <w:rFonts w:ascii="Times New Roman" w:hAnsi="Times New Roman"/>
          <w:color w:val="000000" w:themeColor="text1"/>
          <w:sz w:val="24"/>
        </w:rPr>
        <w:t xml:space="preserve"> the viability of chondrocytes. (</w:t>
      </w:r>
      <w:r>
        <w:rPr>
          <w:rFonts w:ascii="Times New Roman" w:hAnsi="Times New Roman" w:hint="eastAsia"/>
          <w:b/>
          <w:color w:val="000000" w:themeColor="text1"/>
          <w:sz w:val="24"/>
        </w:rPr>
        <w:t>C</w:t>
      </w:r>
      <w:r>
        <w:rPr>
          <w:rFonts w:ascii="Times New Roman" w:hAnsi="Times New Roman"/>
          <w:color w:val="000000" w:themeColor="text1"/>
          <w:sz w:val="24"/>
        </w:rPr>
        <w:t xml:space="preserve">) Edu staining was </w:t>
      </w:r>
      <w:r>
        <w:rPr>
          <w:rFonts w:ascii="Times New Roman" w:hAnsi="Times New Roman" w:hint="eastAsia"/>
          <w:color w:val="000000" w:themeColor="text1"/>
          <w:sz w:val="24"/>
        </w:rPr>
        <w:t>applied</w:t>
      </w:r>
      <w:r>
        <w:rPr>
          <w:rFonts w:ascii="Times New Roman" w:hAnsi="Times New Roman"/>
          <w:color w:val="000000" w:themeColor="text1"/>
          <w:sz w:val="24"/>
        </w:rPr>
        <w:t xml:space="preserve"> to evaluate the proliferation ability of chondrocytes. (</w:t>
      </w:r>
      <w:r>
        <w:rPr>
          <w:rFonts w:ascii="Times New Roman" w:hAnsi="Times New Roman" w:hint="eastAsia"/>
          <w:b/>
          <w:color w:val="000000" w:themeColor="text1"/>
          <w:sz w:val="24"/>
        </w:rPr>
        <w:t>D and</w:t>
      </w:r>
      <w:r>
        <w:rPr>
          <w:rFonts w:ascii="Times New Roman" w:hAnsi="Times New Roman"/>
          <w:b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b/>
          <w:color w:val="000000" w:themeColor="text1"/>
          <w:sz w:val="24"/>
        </w:rPr>
        <w:t>F</w:t>
      </w:r>
      <w:r>
        <w:rPr>
          <w:rFonts w:ascii="Times New Roman" w:hAnsi="Times New Roman"/>
          <w:color w:val="000000" w:themeColor="text1"/>
          <w:sz w:val="24"/>
        </w:rPr>
        <w:t>) The apoptosis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of chondrocytes was </w:t>
      </w:r>
      <w:r>
        <w:rPr>
          <w:rFonts w:ascii="Times New Roman" w:hAnsi="Times New Roman" w:hint="eastAsia"/>
          <w:color w:val="000000" w:themeColor="text1"/>
          <w:sz w:val="24"/>
        </w:rPr>
        <w:lastRenderedPageBreak/>
        <w:t>assessed</w:t>
      </w:r>
      <w:r>
        <w:rPr>
          <w:rFonts w:ascii="Times New Roman" w:hAnsi="Times New Roman"/>
          <w:color w:val="000000" w:themeColor="text1"/>
          <w:sz w:val="24"/>
        </w:rPr>
        <w:t xml:space="preserve"> by flow cytometry. (</w:t>
      </w:r>
      <w:r>
        <w:rPr>
          <w:rFonts w:ascii="Times New Roman" w:hAnsi="Times New Roman" w:hint="eastAsia"/>
          <w:b/>
          <w:color w:val="000000" w:themeColor="text1"/>
          <w:sz w:val="24"/>
        </w:rPr>
        <w:t>E</w:t>
      </w:r>
      <w:r>
        <w:rPr>
          <w:rFonts w:ascii="Times New Roman" w:hAnsi="Times New Roman"/>
          <w:color w:val="000000" w:themeColor="text1"/>
          <w:sz w:val="24"/>
        </w:rPr>
        <w:t>)</w:t>
      </w:r>
      <w:r>
        <w:rPr>
          <w:rFonts w:ascii="Times New Roman" w:hAnsi="Times New Roman" w:hint="eastAsia"/>
          <w:color w:val="000000" w:themeColor="text1"/>
          <w:sz w:val="24"/>
        </w:rPr>
        <w:t xml:space="preserve"> The </w:t>
      </w:r>
      <w:r>
        <w:rPr>
          <w:rFonts w:ascii="Times New Roman" w:hAnsi="Times New Roman"/>
          <w:color w:val="000000" w:themeColor="text1"/>
          <w:sz w:val="24"/>
        </w:rPr>
        <w:t xml:space="preserve">caspase-3 activity </w:t>
      </w:r>
      <w:r>
        <w:rPr>
          <w:rFonts w:ascii="Times New Roman" w:hAnsi="Times New Roman" w:hint="eastAsia"/>
          <w:color w:val="000000" w:themeColor="text1"/>
          <w:sz w:val="24"/>
        </w:rPr>
        <w:t xml:space="preserve">was detected using </w:t>
      </w:r>
      <w:r>
        <w:rPr>
          <w:rFonts w:ascii="Times New Roman" w:hAnsi="Times New Roman"/>
          <w:color w:val="000000" w:themeColor="text1"/>
          <w:sz w:val="24"/>
        </w:rPr>
        <w:t>caspase-3 activity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kit. (</w:t>
      </w:r>
      <w:r>
        <w:rPr>
          <w:rFonts w:ascii="Times New Roman" w:hAnsi="Times New Roman"/>
          <w:b/>
          <w:color w:val="000000" w:themeColor="text1"/>
          <w:sz w:val="24"/>
        </w:rPr>
        <w:t>G</w:t>
      </w:r>
      <w:r>
        <w:rPr>
          <w:rFonts w:ascii="Times New Roman" w:hAnsi="Times New Roman"/>
          <w:color w:val="000000" w:themeColor="text1"/>
          <w:sz w:val="24"/>
        </w:rPr>
        <w:t>) W</w:t>
      </w:r>
      <w:r>
        <w:rPr>
          <w:rFonts w:ascii="Times New Roman" w:hAnsi="Times New Roman" w:hint="eastAsia"/>
          <w:color w:val="000000" w:themeColor="text1"/>
          <w:sz w:val="24"/>
        </w:rPr>
        <w:t xml:space="preserve">estern </w:t>
      </w:r>
      <w:r>
        <w:rPr>
          <w:rFonts w:ascii="Times New Roman" w:hAnsi="Times New Roman"/>
          <w:color w:val="000000" w:themeColor="text1"/>
          <w:sz w:val="24"/>
        </w:rPr>
        <w:t>B</w:t>
      </w:r>
      <w:r>
        <w:rPr>
          <w:rFonts w:ascii="Times New Roman" w:hAnsi="Times New Roman" w:hint="eastAsia"/>
          <w:color w:val="000000" w:themeColor="text1"/>
          <w:sz w:val="24"/>
        </w:rPr>
        <w:t>lot was applied to measure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 xml:space="preserve">the expression of </w:t>
      </w:r>
      <w:r>
        <w:rPr>
          <w:rFonts w:ascii="Times New Roman" w:hAnsi="Times New Roman"/>
          <w:color w:val="000000" w:themeColor="text1"/>
          <w:sz w:val="24"/>
        </w:rPr>
        <w:t>MMP13</w:t>
      </w:r>
      <w:r>
        <w:rPr>
          <w:rFonts w:ascii="Times New Roman" w:hAnsi="Times New Roman" w:hint="eastAsia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 xml:space="preserve">ADAMTS5, </w:t>
      </w:r>
      <w:proofErr w:type="spellStart"/>
      <w:r>
        <w:rPr>
          <w:rFonts w:ascii="Times New Roman" w:hAnsi="Times New Roman"/>
          <w:color w:val="000000" w:themeColor="text1"/>
          <w:sz w:val="24"/>
        </w:rPr>
        <w:t>Aggrecan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 xml:space="preserve">and COL2A1. </w:t>
      </w:r>
      <w:r>
        <w:rPr>
          <w:rFonts w:ascii="Times New Roman" w:hAnsi="Times New Roman" w:hint="eastAsia"/>
          <w:color w:val="000000" w:themeColor="text1"/>
          <w:sz w:val="24"/>
        </w:rPr>
        <w:t>LPS, lipopolysaccharide;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bookmarkStart w:id="3" w:name="OLE_LINK31"/>
      <w:proofErr w:type="spellStart"/>
      <w:r>
        <w:rPr>
          <w:rFonts w:ascii="Times New Roman" w:hAnsi="Times New Roman" w:hint="eastAsia"/>
          <w:color w:val="000000" w:themeColor="text1"/>
          <w:sz w:val="24"/>
        </w:rPr>
        <w:t>shFTO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, FTO knockdown adenovirus;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shNC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, negative control corresponding to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shFTO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 adenovirus;</w:t>
      </w:r>
      <w:bookmarkEnd w:id="3"/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n=</w:t>
      </w:r>
      <w:proofErr w:type="gramStart"/>
      <w:r>
        <w:rPr>
          <w:rFonts w:ascii="Times New Roman" w:hAnsi="Times New Roman" w:hint="eastAsia"/>
          <w:color w:val="000000" w:themeColor="text1"/>
          <w:sz w:val="24"/>
        </w:rPr>
        <w:t>3</w:t>
      </w:r>
      <w:proofErr w:type="gramEnd"/>
      <w:r>
        <w:rPr>
          <w:rFonts w:ascii="Times New Roman" w:hAnsi="Times New Roman"/>
          <w:color w:val="000000" w:themeColor="text1"/>
          <w:sz w:val="24"/>
        </w:rPr>
        <w:t>, *p &lt;0.0</w:t>
      </w:r>
      <w:r>
        <w:rPr>
          <w:rFonts w:ascii="Times New Roman" w:hAnsi="Times New Roman" w:hint="eastAsia"/>
          <w:color w:val="000000" w:themeColor="text1"/>
          <w:sz w:val="24"/>
        </w:rPr>
        <w:t>5</w:t>
      </w:r>
      <w:r>
        <w:rPr>
          <w:rFonts w:ascii="Times New Roman" w:hAnsi="Times New Roman"/>
          <w:color w:val="000000" w:themeColor="text1"/>
          <w:sz w:val="24"/>
        </w:rPr>
        <w:t>,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** p &lt;0.01, **</w:t>
      </w:r>
      <w:r>
        <w:rPr>
          <w:rFonts w:ascii="Times New Roman" w:hAnsi="Times New Roman" w:hint="eastAsia"/>
          <w:color w:val="000000" w:themeColor="text1"/>
          <w:sz w:val="24"/>
        </w:rPr>
        <w:t>*</w:t>
      </w:r>
      <w:r>
        <w:rPr>
          <w:rFonts w:ascii="Times New Roman" w:hAnsi="Times New Roman"/>
          <w:color w:val="000000" w:themeColor="text1"/>
          <w:sz w:val="24"/>
        </w:rPr>
        <w:t xml:space="preserve"> p &lt;0.0</w:t>
      </w:r>
      <w:r>
        <w:rPr>
          <w:rFonts w:ascii="Times New Roman" w:hAnsi="Times New Roman" w:hint="eastAsia"/>
          <w:color w:val="000000" w:themeColor="text1"/>
          <w:sz w:val="24"/>
        </w:rPr>
        <w:t>0</w:t>
      </w:r>
      <w:r>
        <w:rPr>
          <w:rFonts w:ascii="Times New Roman" w:hAnsi="Times New Roman"/>
          <w:color w:val="000000" w:themeColor="text1"/>
          <w:sz w:val="24"/>
        </w:rPr>
        <w:t>1.</w:t>
      </w:r>
    </w:p>
    <w:p w:rsidR="00E22B7C" w:rsidRDefault="00E22B7C">
      <w:pPr>
        <w:spacing w:line="480" w:lineRule="auto"/>
        <w:rPr>
          <w:sz w:val="24"/>
          <w:szCs w:val="24"/>
        </w:rPr>
      </w:pPr>
    </w:p>
    <w:p w:rsidR="00E22B7C" w:rsidRDefault="0003186D">
      <w:pPr>
        <w:spacing w:line="48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  <w:lang w:eastAsia="en-US"/>
        </w:rPr>
        <w:drawing>
          <wp:inline distT="0" distB="0" distL="114300" distR="114300">
            <wp:extent cx="5273675" cy="4460875"/>
            <wp:effectExtent l="0" t="0" r="3175" b="15875"/>
            <wp:docPr id="2" name="图片 2" descr="Figure S2(CMY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(CMYK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46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B7C" w:rsidRDefault="0003186D">
      <w:pPr>
        <w:spacing w:line="360" w:lineRule="auto"/>
        <w:rPr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Supplementary Fig. 2 </w:t>
      </w:r>
      <w:r>
        <w:rPr>
          <w:rFonts w:ascii="Times New Roman" w:hAnsi="Times New Roman" w:hint="eastAsia"/>
          <w:b/>
          <w:color w:val="000000" w:themeColor="text1"/>
          <w:sz w:val="24"/>
        </w:rPr>
        <w:t>miR-3591-5p overexpression aggravated LPS-induced chondrocytes damage by inhibiting PRKAA2</w:t>
      </w:r>
      <w:r>
        <w:rPr>
          <w:rFonts w:ascii="Times New Roman" w:hAnsi="Times New Roman"/>
          <w:color w:val="000000" w:themeColor="text1"/>
          <w:sz w:val="24"/>
        </w:rPr>
        <w:t>.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(</w:t>
      </w:r>
      <w:r>
        <w:rPr>
          <w:rFonts w:ascii="Times New Roman" w:hAnsi="Times New Roman" w:hint="eastAsia"/>
          <w:b/>
          <w:color w:val="000000" w:themeColor="text1"/>
          <w:sz w:val="24"/>
        </w:rPr>
        <w:t>A</w:t>
      </w:r>
      <w:r>
        <w:rPr>
          <w:rFonts w:ascii="Times New Roman" w:hAnsi="Times New Roman"/>
          <w:color w:val="000000" w:themeColor="text1"/>
          <w:sz w:val="24"/>
        </w:rPr>
        <w:t xml:space="preserve">) </w:t>
      </w:r>
      <w:r>
        <w:rPr>
          <w:rFonts w:ascii="Times New Roman" w:hAnsi="Times New Roman" w:hint="eastAsia"/>
          <w:color w:val="000000" w:themeColor="text1"/>
          <w:sz w:val="24"/>
        </w:rPr>
        <w:t xml:space="preserve">Chondrocytes were transfected with miR-3951-5p mimics adenovirus or NC mimics adenovirus, and then treated with 40 ng/mL LPS for 24 h. RT-qPCR was applied to assess the mRNA expression </w:t>
      </w:r>
      <w:r>
        <w:rPr>
          <w:rFonts w:ascii="Times New Roman" w:hAnsi="Times New Roman"/>
          <w:color w:val="000000" w:themeColor="text1"/>
          <w:sz w:val="24"/>
        </w:rPr>
        <w:t xml:space="preserve">miR-3591-5p </w:t>
      </w:r>
      <w:r>
        <w:rPr>
          <w:rFonts w:ascii="Times New Roman" w:hAnsi="Times New Roman" w:hint="eastAsia"/>
          <w:color w:val="000000" w:themeColor="text1"/>
          <w:sz w:val="24"/>
        </w:rPr>
        <w:t>and</w:t>
      </w:r>
      <w:r>
        <w:rPr>
          <w:rFonts w:ascii="Times New Roman" w:hAnsi="Times New Roman"/>
          <w:color w:val="000000" w:themeColor="text1"/>
          <w:sz w:val="24"/>
        </w:rPr>
        <w:t xml:space="preserve"> PRKAA2</w:t>
      </w:r>
      <w:r>
        <w:rPr>
          <w:rFonts w:ascii="Times New Roman" w:hAnsi="Times New Roman" w:hint="eastAsia"/>
          <w:color w:val="000000" w:themeColor="text1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(</w:t>
      </w:r>
      <w:r>
        <w:rPr>
          <w:rFonts w:ascii="Times New Roman" w:hAnsi="Times New Roman" w:hint="eastAsia"/>
          <w:b/>
          <w:color w:val="000000" w:themeColor="text1"/>
          <w:sz w:val="24"/>
        </w:rPr>
        <w:t>B</w:t>
      </w:r>
      <w:r>
        <w:rPr>
          <w:rFonts w:ascii="Times New Roman" w:hAnsi="Times New Roman"/>
          <w:color w:val="000000" w:themeColor="text1"/>
          <w:sz w:val="24"/>
        </w:rPr>
        <w:t xml:space="preserve">) </w:t>
      </w:r>
      <w:r>
        <w:rPr>
          <w:rFonts w:ascii="Times New Roman" w:hAnsi="Times New Roman" w:hint="eastAsia"/>
          <w:color w:val="000000" w:themeColor="text1"/>
          <w:sz w:val="24"/>
        </w:rPr>
        <w:t>Chondrocytes were transfected with miR-3951</w:t>
      </w:r>
      <w:r>
        <w:rPr>
          <w:rFonts w:ascii="Times New Roman" w:hAnsi="Times New Roman" w:hint="eastAsia"/>
          <w:color w:val="000000" w:themeColor="text1"/>
          <w:sz w:val="24"/>
        </w:rPr>
        <w:t xml:space="preserve">-5p </w:t>
      </w:r>
      <w:proofErr w:type="gramStart"/>
      <w:r>
        <w:rPr>
          <w:rFonts w:ascii="Times New Roman" w:hAnsi="Times New Roman" w:hint="eastAsia"/>
          <w:color w:val="000000" w:themeColor="text1"/>
          <w:sz w:val="24"/>
        </w:rPr>
        <w:t>mimics</w:t>
      </w:r>
      <w:proofErr w:type="gramEnd"/>
      <w:r>
        <w:rPr>
          <w:rFonts w:ascii="Times New Roman" w:hAnsi="Times New Roman" w:hint="eastAsia"/>
          <w:color w:val="000000" w:themeColor="text1"/>
          <w:sz w:val="24"/>
        </w:rPr>
        <w:t xml:space="preserve"> adenovirus or a combination of miR-3951-5p mimics adenovirus and </w:t>
      </w:r>
      <w:r>
        <w:rPr>
          <w:rFonts w:ascii="Times New Roman" w:hAnsi="Times New Roman"/>
          <w:color w:val="000000" w:themeColor="text1"/>
          <w:sz w:val="24"/>
        </w:rPr>
        <w:t>PRKAA2</w:t>
      </w:r>
      <w:r>
        <w:rPr>
          <w:rFonts w:ascii="Times New Roman" w:hAnsi="Times New Roman" w:hint="eastAsia"/>
          <w:color w:val="000000" w:themeColor="text1"/>
          <w:sz w:val="24"/>
        </w:rPr>
        <w:t xml:space="preserve"> adenovirus, and then treated with 40 ng/mL LPS for 24 h. CCK-8 was applied to assess the viability of chondrocytes. (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>C</w:t>
      </w:r>
      <w:r>
        <w:rPr>
          <w:rFonts w:ascii="Times New Roman" w:hAnsi="Times New Roman" w:hint="eastAsia"/>
          <w:color w:val="000000" w:themeColor="text1"/>
          <w:sz w:val="24"/>
        </w:rPr>
        <w:t xml:space="preserve">) Chondrocytes were transfected </w:t>
      </w:r>
      <w:r>
        <w:rPr>
          <w:rFonts w:ascii="Times New Roman" w:hAnsi="Times New Roman" w:hint="eastAsia"/>
          <w:color w:val="000000" w:themeColor="text1"/>
          <w:sz w:val="24"/>
        </w:rPr>
        <w:lastRenderedPageBreak/>
        <w:t>with miR-3951 mimics or</w:t>
      </w:r>
      <w:r>
        <w:rPr>
          <w:rFonts w:ascii="Times New Roman" w:hAnsi="Times New Roman" w:hint="eastAsia"/>
          <w:color w:val="000000" w:themeColor="text1"/>
          <w:sz w:val="24"/>
        </w:rPr>
        <w:t xml:space="preserve"> a combination of miR-3951-5p </w:t>
      </w:r>
      <w:proofErr w:type="gramStart"/>
      <w:r>
        <w:rPr>
          <w:rFonts w:ascii="Times New Roman" w:hAnsi="Times New Roman" w:hint="eastAsia"/>
          <w:color w:val="000000" w:themeColor="text1"/>
          <w:sz w:val="24"/>
        </w:rPr>
        <w:t>mimics</w:t>
      </w:r>
      <w:proofErr w:type="gramEnd"/>
      <w:r>
        <w:rPr>
          <w:rFonts w:ascii="Times New Roman" w:hAnsi="Times New Roman" w:hint="eastAsia"/>
          <w:color w:val="000000" w:themeColor="text1"/>
          <w:sz w:val="24"/>
        </w:rPr>
        <w:t xml:space="preserve"> adenovirus and </w:t>
      </w:r>
      <w:r>
        <w:rPr>
          <w:rFonts w:ascii="Times New Roman" w:hAnsi="Times New Roman"/>
          <w:color w:val="000000" w:themeColor="text1"/>
          <w:sz w:val="24"/>
        </w:rPr>
        <w:t>PRKAA2</w:t>
      </w:r>
      <w:r>
        <w:rPr>
          <w:rFonts w:ascii="Times New Roman" w:hAnsi="Times New Roman" w:hint="eastAsia"/>
          <w:color w:val="000000" w:themeColor="text1"/>
          <w:sz w:val="24"/>
        </w:rPr>
        <w:t xml:space="preserve"> adenovirus, and then treated with 40 ng/mL LPS for 24 h. The apoptosis of chondrocytes was detected by flow cytometry. (</w:t>
      </w:r>
      <w:r>
        <w:rPr>
          <w:rFonts w:ascii="Times New Roman" w:hAnsi="Times New Roman" w:hint="eastAsia"/>
          <w:b/>
          <w:color w:val="000000" w:themeColor="text1"/>
          <w:sz w:val="24"/>
        </w:rPr>
        <w:t>D</w:t>
      </w:r>
      <w:r>
        <w:rPr>
          <w:rFonts w:ascii="Times New Roman" w:hAnsi="Times New Roman" w:hint="eastAsia"/>
          <w:color w:val="000000" w:themeColor="text1"/>
          <w:sz w:val="24"/>
        </w:rPr>
        <w:t xml:space="preserve">) Chondrocytes were transfected with miR-3951-5p mimics or a combination of </w:t>
      </w:r>
      <w:r>
        <w:rPr>
          <w:rFonts w:ascii="Times New Roman" w:hAnsi="Times New Roman" w:hint="eastAsia"/>
          <w:color w:val="000000" w:themeColor="text1"/>
          <w:sz w:val="24"/>
        </w:rPr>
        <w:t xml:space="preserve">miR-3951-5p mimics adenovirus and </w:t>
      </w:r>
      <w:r>
        <w:rPr>
          <w:rFonts w:ascii="Times New Roman" w:hAnsi="Times New Roman"/>
          <w:color w:val="000000" w:themeColor="text1"/>
          <w:sz w:val="24"/>
        </w:rPr>
        <w:t>PRKAA2</w:t>
      </w:r>
      <w:r>
        <w:rPr>
          <w:rFonts w:ascii="Times New Roman" w:hAnsi="Times New Roman" w:hint="eastAsia"/>
          <w:color w:val="000000" w:themeColor="text1"/>
          <w:sz w:val="24"/>
        </w:rPr>
        <w:t xml:space="preserve"> adenovirus, and then treated with 40 ng/mL LPS for 24 h. Western Blot was used to detect the expression of MMP13, ADAMTS5,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Aggrecan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>, and COL2A1. LPS, lipopolysaccharide;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 xml:space="preserve">NC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mim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>., negative control corresponding to mi</w:t>
      </w:r>
      <w:r>
        <w:rPr>
          <w:rFonts w:ascii="Times New Roman" w:hAnsi="Times New Roman" w:hint="eastAsia"/>
          <w:color w:val="000000" w:themeColor="text1"/>
          <w:sz w:val="24"/>
        </w:rPr>
        <w:t xml:space="preserve">R-3591-5p mimics adenovirus;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miR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mim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., miR-3591-5p mimics adenovirus; NC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inh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., negative control corresponding to miR-3591-5p inhibitor adenovirus;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miR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inh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., miR-3591-5p inhibitor adenovirus; PRKAA2, PRKAA2 overexpression adenovirus; </w:t>
      </w:r>
      <w:r>
        <w:rPr>
          <w:rFonts w:ascii="Times New Roman" w:hAnsi="Times New Roman"/>
          <w:color w:val="000000" w:themeColor="text1"/>
          <w:sz w:val="24"/>
        </w:rPr>
        <w:t>n=</w:t>
      </w:r>
      <w:r>
        <w:rPr>
          <w:rFonts w:ascii="Times New Roman" w:hAnsi="Times New Roman" w:hint="eastAsia"/>
          <w:color w:val="000000" w:themeColor="text1"/>
          <w:sz w:val="24"/>
        </w:rPr>
        <w:t>3</w:t>
      </w:r>
      <w:r>
        <w:rPr>
          <w:rFonts w:ascii="Times New Roman" w:hAnsi="Times New Roman"/>
          <w:color w:val="000000" w:themeColor="text1"/>
          <w:sz w:val="24"/>
        </w:rPr>
        <w:t>, *p &lt;0.0</w:t>
      </w:r>
      <w:r>
        <w:rPr>
          <w:rFonts w:ascii="Times New Roman" w:hAnsi="Times New Roman" w:hint="eastAsia"/>
          <w:color w:val="000000" w:themeColor="text1"/>
          <w:sz w:val="24"/>
        </w:rPr>
        <w:t>5</w:t>
      </w:r>
      <w:r>
        <w:rPr>
          <w:rFonts w:ascii="Times New Roman" w:hAnsi="Times New Roman"/>
          <w:color w:val="000000" w:themeColor="text1"/>
          <w:sz w:val="24"/>
        </w:rPr>
        <w:t>,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**p &lt;0.0</w:t>
      </w:r>
      <w:r>
        <w:rPr>
          <w:rFonts w:ascii="Times New Roman" w:hAnsi="Times New Roman"/>
          <w:color w:val="000000" w:themeColor="text1"/>
          <w:sz w:val="24"/>
        </w:rPr>
        <w:t>1, **</w:t>
      </w:r>
      <w:r>
        <w:rPr>
          <w:rFonts w:ascii="Times New Roman" w:hAnsi="Times New Roman" w:hint="eastAsia"/>
          <w:color w:val="000000" w:themeColor="text1"/>
          <w:sz w:val="24"/>
        </w:rPr>
        <w:t>*</w:t>
      </w:r>
      <w:r>
        <w:rPr>
          <w:rFonts w:ascii="Times New Roman" w:hAnsi="Times New Roman"/>
          <w:color w:val="000000" w:themeColor="text1"/>
          <w:sz w:val="24"/>
        </w:rPr>
        <w:t>p &lt;0.0</w:t>
      </w:r>
      <w:r>
        <w:rPr>
          <w:rFonts w:ascii="Times New Roman" w:hAnsi="Times New Roman" w:hint="eastAsia"/>
          <w:color w:val="000000" w:themeColor="text1"/>
          <w:sz w:val="24"/>
        </w:rPr>
        <w:t>0</w:t>
      </w:r>
      <w:r>
        <w:rPr>
          <w:rFonts w:ascii="Times New Roman" w:hAnsi="Times New Roman"/>
          <w:color w:val="000000" w:themeColor="text1"/>
          <w:sz w:val="24"/>
        </w:rPr>
        <w:t>1.</w:t>
      </w:r>
    </w:p>
    <w:p w:rsidR="00E22B7C" w:rsidRDefault="00E22B7C">
      <w:pPr>
        <w:spacing w:line="480" w:lineRule="auto"/>
        <w:rPr>
          <w:sz w:val="24"/>
          <w:szCs w:val="24"/>
        </w:rPr>
      </w:pPr>
    </w:p>
    <w:p w:rsidR="00E22B7C" w:rsidRDefault="0003186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Supplementary Tables</w:t>
      </w:r>
    </w:p>
    <w:p w:rsidR="00E22B7C" w:rsidRDefault="0003186D">
      <w:pPr>
        <w:widowControl/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1</w:t>
      </w:r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szCs w:val="24"/>
        </w:rPr>
        <w:t>The</w:t>
      </w:r>
      <w:proofErr w:type="gramEnd"/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szCs w:val="24"/>
        </w:rPr>
        <w:t xml:space="preserve"> sequences of </w:t>
      </w:r>
      <w:proofErr w:type="spellStart"/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szCs w:val="24"/>
        </w:rPr>
        <w:t>shRNAs</w:t>
      </w:r>
      <w:proofErr w:type="spellEnd"/>
      <w:r>
        <w:rPr>
          <w:rFonts w:ascii="Times New Roman" w:eastAsia="SimSun" w:hAnsi="Times New Roman" w:hint="eastAsia"/>
          <w:b/>
          <w:bCs/>
          <w:color w:val="000000" w:themeColor="text1"/>
          <w:kern w:val="0"/>
          <w:sz w:val="24"/>
          <w:szCs w:val="24"/>
        </w:rPr>
        <w:t xml:space="preserve">, </w:t>
      </w:r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szCs w:val="24"/>
        </w:rPr>
        <w:t>miR-3591</w:t>
      </w:r>
      <w:r>
        <w:rPr>
          <w:rFonts w:ascii="Times New Roman" w:hAnsi="Times New Roman" w:hint="eastAsia"/>
          <w:b/>
          <w:color w:val="000000" w:themeColor="text1"/>
          <w:sz w:val="24"/>
        </w:rPr>
        <w:t>-5p</w:t>
      </w:r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szCs w:val="24"/>
        </w:rPr>
        <w:t xml:space="preserve"> inhibitor/mimics</w:t>
      </w:r>
      <w:r>
        <w:rPr>
          <w:rFonts w:ascii="Times New Roman" w:eastAsia="SimSun" w:hAnsi="Times New Roman" w:hint="eastAsia"/>
          <w:b/>
          <w:bCs/>
          <w:color w:val="000000" w:themeColor="text1"/>
          <w:kern w:val="0"/>
          <w:sz w:val="24"/>
          <w:szCs w:val="24"/>
        </w:rPr>
        <w:t xml:space="preserve">, and their negative control </w:t>
      </w:r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szCs w:val="24"/>
        </w:rPr>
        <w:t>in this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1"/>
        <w:gridCol w:w="5401"/>
      </w:tblGrid>
      <w:tr w:rsidR="00E22B7C"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B7C" w:rsidRDefault="0003186D">
            <w:pPr>
              <w:widowControl/>
              <w:spacing w:line="360" w:lineRule="auto"/>
              <w:jc w:val="center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Names</w:t>
            </w:r>
          </w:p>
        </w:tc>
        <w:tc>
          <w:tcPr>
            <w:tcW w:w="5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B7C" w:rsidRDefault="0003186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Sequences (5’-3’)</w:t>
            </w:r>
          </w:p>
        </w:tc>
      </w:tr>
      <w:tr w:rsidR="00E22B7C">
        <w:tc>
          <w:tcPr>
            <w:tcW w:w="3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shFTO</w:t>
            </w:r>
            <w:proofErr w:type="spellEnd"/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(human)</w:t>
            </w:r>
          </w:p>
        </w:tc>
        <w:tc>
          <w:tcPr>
            <w:tcW w:w="5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TCACCAAGGAGACTGCTATT</w:t>
            </w:r>
          </w:p>
        </w:tc>
      </w:tr>
      <w:tr w:rsidR="00E22B7C"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shFTO</w:t>
            </w:r>
            <w:proofErr w:type="spellEnd"/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(mouse)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CCAGGGAGACTGCTATTTCAT</w:t>
            </w:r>
          </w:p>
        </w:tc>
      </w:tr>
      <w:tr w:rsidR="00E22B7C"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shPRKAA2 (human)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CCCACTGAAACGAGCAACTAT</w:t>
            </w:r>
          </w:p>
        </w:tc>
      </w:tr>
      <w:tr w:rsidR="00E22B7C"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miR-3591 mimics (human)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sense, </w:t>
            </w:r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UUUAGUGUGAUAAUGGCGUUUGA</w:t>
            </w:r>
          </w:p>
        </w:tc>
      </w:tr>
      <w:tr w:rsidR="00E22B7C"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E22B7C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antisense, AAACGCCAUUAUCACACUAAAUU</w:t>
            </w:r>
          </w:p>
        </w:tc>
      </w:tr>
      <w:tr w:rsidR="00E22B7C"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NC mimics (human)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sense, </w:t>
            </w:r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UUGUACUACACAAAAGUACUG</w:t>
            </w:r>
          </w:p>
        </w:tc>
      </w:tr>
      <w:tr w:rsidR="00E22B7C"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E22B7C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4" w:name="OLE_LINK69"/>
            <w:bookmarkEnd w:id="4"/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antisense, GUACUUUUGUGUAGUACAAUU</w:t>
            </w:r>
          </w:p>
        </w:tc>
      </w:tr>
      <w:tr w:rsidR="00E22B7C"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miR-3591 inhibitor (human)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UCAAACGCCAUUAUCACACUAAA</w:t>
            </w:r>
          </w:p>
        </w:tc>
      </w:tr>
      <w:tr w:rsidR="00E22B7C"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NC inhibitor (human)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2B7C" w:rsidRDefault="0003186D">
            <w:pPr>
              <w:widowControl/>
              <w:spacing w:line="360" w:lineRule="auto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CAGUACUUUUGUGUAGUACAA</w:t>
            </w:r>
          </w:p>
        </w:tc>
      </w:tr>
    </w:tbl>
    <w:p w:rsidR="00E22B7C" w:rsidRDefault="00E22B7C">
      <w:pPr>
        <w:spacing w:line="480" w:lineRule="auto"/>
        <w:rPr>
          <w:sz w:val="24"/>
          <w:szCs w:val="24"/>
        </w:rPr>
      </w:pPr>
    </w:p>
    <w:p w:rsidR="00E22B7C" w:rsidRDefault="00E22B7C">
      <w:pPr>
        <w:spacing w:line="480" w:lineRule="auto"/>
        <w:rPr>
          <w:sz w:val="24"/>
          <w:szCs w:val="24"/>
        </w:rPr>
      </w:pPr>
    </w:p>
    <w:p w:rsidR="00E22B7C" w:rsidRDefault="00E22B7C">
      <w:pPr>
        <w:spacing w:line="480" w:lineRule="auto"/>
        <w:rPr>
          <w:sz w:val="24"/>
          <w:szCs w:val="24"/>
        </w:rPr>
      </w:pPr>
    </w:p>
    <w:p w:rsidR="00E22B7C" w:rsidRDefault="00E22B7C">
      <w:pPr>
        <w:spacing w:line="480" w:lineRule="auto"/>
        <w:rPr>
          <w:sz w:val="24"/>
          <w:szCs w:val="24"/>
        </w:rPr>
      </w:pPr>
    </w:p>
    <w:p w:rsidR="00E22B7C" w:rsidRDefault="0003186D">
      <w:pPr>
        <w:widowControl/>
        <w:spacing w:line="360" w:lineRule="auto"/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2</w:t>
      </w:r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SimSun" w:hAnsi="Times New Roman" w:hint="eastAsia"/>
          <w:b/>
          <w:bCs/>
          <w:color w:val="000000" w:themeColor="text1"/>
          <w:kern w:val="0"/>
          <w:sz w:val="24"/>
          <w:szCs w:val="24"/>
        </w:rPr>
        <w:t>P</w:t>
      </w:r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szCs w:val="24"/>
        </w:rPr>
        <w:t>rimer</w:t>
      </w:r>
      <w:r>
        <w:rPr>
          <w:rFonts w:ascii="Times New Roman" w:eastAsia="SimSun" w:hAnsi="Times New Roman" w:hint="eastAsia"/>
          <w:b/>
          <w:bCs/>
          <w:color w:val="000000" w:themeColor="text1"/>
          <w:kern w:val="0"/>
          <w:sz w:val="24"/>
          <w:szCs w:val="24"/>
        </w:rPr>
        <w:t>s used for</w:t>
      </w:r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szCs w:val="24"/>
        </w:rPr>
        <w:t xml:space="preserve"> RT-qPCR</w:t>
      </w:r>
      <w:r>
        <w:rPr>
          <w:rFonts w:ascii="Times New Roman" w:eastAsia="SimSun" w:hAnsi="Times New Roman" w:hint="eastAsia"/>
          <w:b/>
          <w:bCs/>
          <w:color w:val="000000" w:themeColor="text1"/>
          <w:kern w:val="0"/>
          <w:sz w:val="24"/>
          <w:szCs w:val="24"/>
        </w:rPr>
        <w:t xml:space="preserve"> and other assays in this study</w:t>
      </w:r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szCs w:val="24"/>
        </w:rPr>
        <w:t>.</w:t>
      </w:r>
    </w:p>
    <w:tbl>
      <w:tblPr>
        <w:tblStyle w:val="TableGrid"/>
        <w:tblW w:w="8820" w:type="dxa"/>
        <w:tblLayout w:type="fixed"/>
        <w:tblLook w:val="04A0" w:firstRow="1" w:lastRow="0" w:firstColumn="1" w:lastColumn="0" w:noHBand="0" w:noVBand="1"/>
      </w:tblPr>
      <w:tblGrid>
        <w:gridCol w:w="2093"/>
        <w:gridCol w:w="6727"/>
      </w:tblGrid>
      <w:tr w:rsidR="00E22B7C"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B7C" w:rsidRDefault="0003186D">
            <w:pPr>
              <w:widowControl/>
              <w:jc w:val="center"/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JxnydxAdvTT86d47313" w:hAnsi="Times New Roman" w:cs="Times New Roman"/>
                <w:color w:val="000000" w:themeColor="text1"/>
                <w:kern w:val="0"/>
                <w:sz w:val="24"/>
                <w:szCs w:val="24"/>
              </w:rPr>
              <w:t>Names</w:t>
            </w:r>
          </w:p>
        </w:tc>
        <w:tc>
          <w:tcPr>
            <w:tcW w:w="6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B7C" w:rsidRDefault="0003186D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Primer sequences (5’-3’)</w:t>
            </w:r>
          </w:p>
        </w:tc>
      </w:tr>
      <w:tr w:rsidR="00E22B7C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FTO</w:t>
            </w:r>
          </w:p>
        </w:tc>
        <w:tc>
          <w:tcPr>
            <w:tcW w:w="6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5" w:name="OLE_LINK72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Forward, </w:t>
            </w:r>
            <w:bookmarkEnd w:id="5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GAAGCACTGTGGAAGAAGATGGA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E22B7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Reverse, GGCAAGGATGGCAGTCAAGAT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PRKAA2 </w:t>
            </w: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Forward, GTGAAGATCGGACACTACGTG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E22B7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Reverse, CTGGAAGGTGGACAGCGAGG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pri-miR-3591</w:t>
            </w: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6" w:name="OLE_LINK45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Forward, </w:t>
            </w:r>
            <w:bookmarkEnd w:id="6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AGAGCCAGACACAGAAGA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E22B7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Reverse, TCTCTGCTTGGTCCTTGT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pre-miR-3591</w:t>
            </w: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Forward, AGGGAAAGGCGGAAGAGA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E22B7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Reverse, ATTGCCCTA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CCCGCC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AAGAAATGTAAGGTAT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miR-3591-5p</w:t>
            </w: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Forward, 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ACACTCCAGCTGGG TTTAGTGTGATAATGGC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E22B7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Reverse, CAGTGCGTGTCGTGGAGT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GAPDH</w:t>
            </w: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Forward, CGGCAAGTTCAACGGCACAGT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E22B7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Reverse, ACGCCAGTAGACTCCACGACAT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U6</w:t>
            </w: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Forward, CTCGCTTCGGCAGCACA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E22B7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Reverse, TGGTGTCGTGGAGTCG</w:t>
            </w:r>
          </w:p>
        </w:tc>
      </w:tr>
      <w:tr w:rsidR="00E22B7C">
        <w:tc>
          <w:tcPr>
            <w:tcW w:w="8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Primers used for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MeRIP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-qPCR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Pri-miR-3591</w:t>
            </w: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Forward, 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AACACCAGCAAGGAGAAC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E22B7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Reverse,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TCCTTCCCTCGTTGTCTT</w:t>
            </w:r>
          </w:p>
        </w:tc>
      </w:tr>
      <w:tr w:rsidR="00E22B7C">
        <w:tc>
          <w:tcPr>
            <w:tcW w:w="8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Primiers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used for in vitro transcription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Pri-miR-3591</w:t>
            </w: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Forward,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ATTGCCTAATACGACTCACTATAGGGAGAAAC</w:t>
            </w:r>
          </w:p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ACCAGCAAGGAGAAC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E22B7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Reverse, AAGAATTTGGGCCGGCACTGTCAGACCGA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Pri-miR-1-1</w:t>
            </w:r>
          </w:p>
        </w:tc>
        <w:tc>
          <w:tcPr>
            <w:tcW w:w="6727" w:type="dxa"/>
            <w:tcBorders>
              <w:top w:val="nil"/>
              <w:left w:val="nil"/>
              <w:bottom w:val="nil"/>
              <w:right w:val="nil"/>
            </w:tcBorders>
          </w:tcPr>
          <w:p w:rsidR="00E22B7C" w:rsidRDefault="0003186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Forward,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ATTGCCTAATACGACTCACTATAGGGAGAGG</w:t>
            </w:r>
          </w:p>
          <w:p w:rsidR="00E22B7C" w:rsidRDefault="0003186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GCCCGGCAGAGA</w:t>
            </w:r>
          </w:p>
        </w:tc>
      </w:tr>
      <w:tr w:rsidR="00E22B7C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2B7C" w:rsidRDefault="00E22B7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2B7C" w:rsidRDefault="0003186D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Reverse,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CAATAACCCCGCCTCCCCCCCCCGCC</w:t>
            </w:r>
          </w:p>
        </w:tc>
      </w:tr>
    </w:tbl>
    <w:p w:rsidR="00E22B7C" w:rsidRDefault="00E22B7C">
      <w:pPr>
        <w:spacing w:line="480" w:lineRule="auto"/>
        <w:rPr>
          <w:sz w:val="24"/>
          <w:szCs w:val="24"/>
        </w:rPr>
      </w:pPr>
    </w:p>
    <w:p w:rsidR="00E22B7C" w:rsidRDefault="00E22B7C">
      <w:pPr>
        <w:spacing w:line="480" w:lineRule="auto"/>
        <w:rPr>
          <w:sz w:val="24"/>
          <w:szCs w:val="24"/>
        </w:rPr>
      </w:pPr>
    </w:p>
    <w:sectPr w:rsidR="00E22B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SimSun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default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xnydxAdvTT86d47313">
    <w:altName w:val="Segoe Print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hNzE2NjQxM2QxMTlkYWE3ODJmMGMyMmIyNTU5YjUifQ=="/>
    <w:docVar w:name="Total_Editing_Time" w:val="11"/>
  </w:docVars>
  <w:rsids>
    <w:rsidRoot w:val="00E9389D"/>
    <w:rsid w:val="0003186D"/>
    <w:rsid w:val="006706DC"/>
    <w:rsid w:val="006E3BBC"/>
    <w:rsid w:val="00724AD9"/>
    <w:rsid w:val="007326B9"/>
    <w:rsid w:val="007B4832"/>
    <w:rsid w:val="007D1107"/>
    <w:rsid w:val="00BC4A9D"/>
    <w:rsid w:val="00C17B1F"/>
    <w:rsid w:val="00C319C7"/>
    <w:rsid w:val="00E22B7C"/>
    <w:rsid w:val="00E9389D"/>
    <w:rsid w:val="3A753229"/>
    <w:rsid w:val="428E25ED"/>
    <w:rsid w:val="676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TableGrid">
    <w:name w:val="Table Grid"/>
    <w:basedOn w:val="TableNormal"/>
    <w:uiPriority w:val="99"/>
    <w:qFormat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TableGrid">
    <w:name w:val="Table Grid"/>
    <w:basedOn w:val="TableNormal"/>
    <w:uiPriority w:val="99"/>
    <w:qFormat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529</Words>
  <Characters>3763</Characters>
  <Application>Microsoft Office Word</Application>
  <DocSecurity>0</DocSecurity>
  <Lines>129</Lines>
  <Paragraphs>78</Paragraphs>
  <ScaleCrop>false</ScaleCrop>
  <Company>tlghost.com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E736162</cp:lastModifiedBy>
  <cp:revision>4</cp:revision>
  <dcterms:created xsi:type="dcterms:W3CDTF">2022-07-24T08:21:00Z</dcterms:created>
  <dcterms:modified xsi:type="dcterms:W3CDTF">2023-03-22T16:31:00Z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2D111D0A50DB46DB9FE05F5499E84023</vt:lpwstr>
  </property>
</Properties>
</file>