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29B2AE" w14:textId="3A35C331" w:rsidR="007E4D03" w:rsidRDefault="00C14C1F" w:rsidP="007E4D03">
      <w:pPr>
        <w:spacing w:after="0" w:line="480" w:lineRule="auto"/>
        <w:rPr>
          <w:rFonts w:ascii="Arial" w:hAnsi="Arial" w:cs="Arial"/>
        </w:rPr>
      </w:pPr>
      <w:bookmarkStart w:id="0" w:name="_Hlk120893630"/>
      <w:bookmarkStart w:id="1" w:name="_GoBack"/>
      <w:r>
        <w:rPr>
          <w:rFonts w:ascii="Arial" w:hAnsi="Arial" w:cs="Arial"/>
          <w:b/>
          <w:bCs/>
        </w:rPr>
        <w:t xml:space="preserve">Additional </w:t>
      </w:r>
      <w:r w:rsidR="009E666C">
        <w:rPr>
          <w:rFonts w:ascii="Arial" w:hAnsi="Arial" w:cs="Arial"/>
          <w:b/>
          <w:bCs/>
        </w:rPr>
        <w:t>f</w:t>
      </w:r>
      <w:r>
        <w:rPr>
          <w:rFonts w:ascii="Arial" w:hAnsi="Arial" w:cs="Arial"/>
          <w:b/>
          <w:bCs/>
        </w:rPr>
        <w:t>ile 1</w:t>
      </w:r>
    </w:p>
    <w:p w14:paraId="71B87302" w14:textId="77777777" w:rsidR="007E4D03" w:rsidRDefault="007E4D03" w:rsidP="007E4D03">
      <w:pPr>
        <w:spacing w:after="0" w:line="480" w:lineRule="auto"/>
        <w:rPr>
          <w:rFonts w:ascii="Arial" w:hAnsi="Arial" w:cs="Arial"/>
        </w:rPr>
      </w:pPr>
    </w:p>
    <w:p w14:paraId="4C20FD9A" w14:textId="1485227F" w:rsidR="007E4D03" w:rsidRDefault="007E4D03" w:rsidP="007E4D03">
      <w:pPr>
        <w:spacing w:after="0" w:line="480" w:lineRule="auto"/>
        <w:rPr>
          <w:rFonts w:ascii="Arial" w:hAnsi="Arial" w:cs="Arial"/>
          <w:b/>
          <w:bCs/>
        </w:rPr>
      </w:pPr>
      <w:r w:rsidRPr="006417A2">
        <w:rPr>
          <w:rFonts w:ascii="Arial" w:hAnsi="Arial" w:cs="Arial"/>
          <w:b/>
          <w:bCs/>
        </w:rPr>
        <w:t xml:space="preserve">Methods used to calculate </w:t>
      </w:r>
      <w:r>
        <w:rPr>
          <w:rFonts w:ascii="Arial" w:hAnsi="Arial" w:cs="Arial"/>
          <w:b/>
          <w:bCs/>
        </w:rPr>
        <w:t>patient-time</w:t>
      </w:r>
      <w:r w:rsidRPr="006417A2">
        <w:rPr>
          <w:rFonts w:ascii="Arial" w:hAnsi="Arial" w:cs="Arial"/>
          <w:b/>
          <w:bCs/>
        </w:rPr>
        <w:t xml:space="preserve"> of exposure and incidence rates</w:t>
      </w:r>
      <w:r>
        <w:rPr>
          <w:rFonts w:ascii="Arial" w:hAnsi="Arial" w:cs="Arial"/>
          <w:b/>
          <w:bCs/>
        </w:rPr>
        <w:t xml:space="preserve"> (IR</w:t>
      </w:r>
      <w:r w:rsidR="00ED5037">
        <w:rPr>
          <w:rFonts w:ascii="Arial" w:hAnsi="Arial" w:cs="Arial"/>
          <w:b/>
          <w:bCs/>
        </w:rPr>
        <w:t>s</w:t>
      </w:r>
      <w:r>
        <w:rPr>
          <w:rFonts w:ascii="Arial" w:hAnsi="Arial" w:cs="Arial"/>
          <w:b/>
          <w:bCs/>
        </w:rPr>
        <w:t>)</w:t>
      </w:r>
      <w:r w:rsidRPr="006417A2">
        <w:rPr>
          <w:rFonts w:ascii="Arial" w:hAnsi="Arial" w:cs="Arial"/>
          <w:b/>
          <w:bCs/>
        </w:rPr>
        <w:t xml:space="preserve"> for each individual registry included in the post-marketing epidemiology abatacept study</w:t>
      </w:r>
    </w:p>
    <w:bookmarkEnd w:id="0"/>
    <w:p w14:paraId="18DA05B5" w14:textId="77777777" w:rsidR="00FC1162" w:rsidRPr="000F7EE5" w:rsidRDefault="00FC1162" w:rsidP="007E4D03">
      <w:pPr>
        <w:spacing w:after="0" w:line="480" w:lineRule="auto"/>
        <w:rPr>
          <w:rFonts w:ascii="Arial" w:hAnsi="Arial" w:cs="Arial"/>
          <w:b/>
          <w:bCs/>
        </w:rPr>
      </w:pPr>
    </w:p>
    <w:p w14:paraId="28ADE0AD" w14:textId="7B193FCA" w:rsidR="007E4D03" w:rsidRDefault="007E4D03" w:rsidP="007E4D03">
      <w:pPr>
        <w:spacing w:after="0" w:line="480" w:lineRule="auto"/>
        <w:rPr>
          <w:rFonts w:ascii="Arial" w:hAnsi="Arial" w:cs="Arial"/>
        </w:rPr>
      </w:pPr>
      <w:r w:rsidRPr="00833BB9">
        <w:rPr>
          <w:rFonts w:ascii="Arial" w:hAnsi="Arial" w:cs="Arial"/>
        </w:rPr>
        <w:t>IR</w:t>
      </w:r>
      <w:r>
        <w:rPr>
          <w:rFonts w:ascii="Arial" w:hAnsi="Arial" w:cs="Arial"/>
        </w:rPr>
        <w:t>s</w:t>
      </w:r>
      <w:r w:rsidRPr="00833BB9">
        <w:rPr>
          <w:rFonts w:ascii="Arial" w:hAnsi="Arial" w:cs="Arial"/>
        </w:rPr>
        <w:t xml:space="preserve"> with 95% confidence intervals (CI</w:t>
      </w:r>
      <w:r w:rsidR="00ED5037">
        <w:rPr>
          <w:rFonts w:ascii="Arial" w:hAnsi="Arial" w:cs="Arial"/>
        </w:rPr>
        <w:t>s</w:t>
      </w:r>
      <w:r>
        <w:rPr>
          <w:rFonts w:ascii="Arial" w:hAnsi="Arial" w:cs="Arial"/>
        </w:rPr>
        <w:t xml:space="preserve">; </w:t>
      </w:r>
      <w:r w:rsidRPr="00833BB9">
        <w:rPr>
          <w:rFonts w:ascii="Arial" w:hAnsi="Arial" w:cs="Arial"/>
        </w:rPr>
        <w:t>some registries used normal</w:t>
      </w:r>
      <w:r>
        <w:rPr>
          <w:rFonts w:ascii="Arial" w:hAnsi="Arial" w:cs="Arial"/>
        </w:rPr>
        <w:t xml:space="preserve"> </w:t>
      </w:r>
      <w:r w:rsidRPr="00833BB9">
        <w:rPr>
          <w:rFonts w:ascii="Arial" w:hAnsi="Arial" w:cs="Arial"/>
        </w:rPr>
        <w:t>approximation, some used exact method</w:t>
      </w:r>
      <w:r>
        <w:rPr>
          <w:rFonts w:ascii="Arial" w:hAnsi="Arial" w:cs="Arial"/>
        </w:rPr>
        <w:t xml:space="preserve">) </w:t>
      </w:r>
      <w:r w:rsidRPr="00833BB9">
        <w:rPr>
          <w:rFonts w:ascii="Arial" w:hAnsi="Arial" w:cs="Arial"/>
        </w:rPr>
        <w:t>were provided for each prespecified outcome and</w:t>
      </w:r>
      <w:r>
        <w:rPr>
          <w:rFonts w:ascii="Arial" w:hAnsi="Arial" w:cs="Arial"/>
        </w:rPr>
        <w:t xml:space="preserve"> </w:t>
      </w:r>
      <w:r w:rsidRPr="00833BB9">
        <w:rPr>
          <w:rFonts w:ascii="Arial" w:hAnsi="Arial" w:cs="Arial"/>
        </w:rPr>
        <w:t xml:space="preserve">reported to the </w:t>
      </w:r>
      <w:bookmarkStart w:id="2" w:name="_Hlk116908520"/>
      <w:r w:rsidRPr="00833BB9">
        <w:rPr>
          <w:rFonts w:ascii="Arial" w:hAnsi="Arial" w:cs="Arial"/>
        </w:rPr>
        <w:t>Marketing Authorization Holde</w:t>
      </w:r>
      <w:bookmarkEnd w:id="2"/>
      <w:r w:rsidRPr="00833BB9">
        <w:rPr>
          <w:rFonts w:ascii="Arial" w:hAnsi="Arial" w:cs="Arial"/>
        </w:rPr>
        <w:t xml:space="preserve">r </w:t>
      </w:r>
      <w:r>
        <w:rPr>
          <w:rFonts w:ascii="Arial" w:hAnsi="Arial" w:cs="Arial"/>
        </w:rPr>
        <w:t xml:space="preserve">(MAH) </w:t>
      </w:r>
      <w:r w:rsidRPr="00833BB9">
        <w:rPr>
          <w:rFonts w:ascii="Arial" w:hAnsi="Arial" w:cs="Arial"/>
        </w:rPr>
        <w:t>by the registry</w:t>
      </w:r>
      <w:r>
        <w:rPr>
          <w:rFonts w:ascii="Arial" w:hAnsi="Arial" w:cs="Arial"/>
        </w:rPr>
        <w:t xml:space="preserve">, with the </w:t>
      </w:r>
      <w:r w:rsidRPr="00833BB9">
        <w:rPr>
          <w:rFonts w:ascii="Arial" w:hAnsi="Arial" w:cs="Arial"/>
        </w:rPr>
        <w:t xml:space="preserve">exception </w:t>
      </w:r>
      <w:r>
        <w:rPr>
          <w:rFonts w:ascii="Arial" w:hAnsi="Arial" w:cs="Arial"/>
        </w:rPr>
        <w:t xml:space="preserve">of </w:t>
      </w:r>
      <w:r w:rsidRPr="00833BB9">
        <w:rPr>
          <w:rFonts w:ascii="Arial" w:hAnsi="Arial" w:cs="Arial"/>
        </w:rPr>
        <w:t>GISEA</w:t>
      </w:r>
      <w:r>
        <w:rPr>
          <w:rFonts w:ascii="Arial" w:hAnsi="Arial" w:cs="Arial"/>
        </w:rPr>
        <w:t xml:space="preserve"> (</w:t>
      </w:r>
      <w:r w:rsidRPr="002132B1">
        <w:rPr>
          <w:rFonts w:ascii="Arial" w:hAnsi="Arial" w:cs="Arial"/>
        </w:rPr>
        <w:t>Italian Group for the Study of Early Arthritis</w:t>
      </w:r>
      <w:r>
        <w:rPr>
          <w:rFonts w:ascii="Arial" w:hAnsi="Arial" w:cs="Arial"/>
        </w:rPr>
        <w:t>). Variation</w:t>
      </w:r>
      <w:r w:rsidR="006A2BA7">
        <w:rPr>
          <w:rFonts w:ascii="Arial" w:hAnsi="Arial" w:cs="Arial"/>
        </w:rPr>
        <w:t>s</w:t>
      </w:r>
      <w:r>
        <w:rPr>
          <w:rFonts w:ascii="Arial" w:hAnsi="Arial" w:cs="Arial"/>
        </w:rPr>
        <w:t xml:space="preserve"> in the methodology for the calculation of IRs for each registry are outlined below.</w:t>
      </w:r>
    </w:p>
    <w:p w14:paraId="31911D9F" w14:textId="77777777" w:rsidR="007E4D03" w:rsidRDefault="007E4D03" w:rsidP="007E4D03">
      <w:pPr>
        <w:spacing w:after="0" w:line="480" w:lineRule="auto"/>
        <w:rPr>
          <w:rFonts w:ascii="Arial" w:hAnsi="Arial" w:cs="Arial"/>
        </w:rPr>
      </w:pPr>
    </w:p>
    <w:p w14:paraId="272A2F42" w14:textId="77777777" w:rsidR="007E4D03" w:rsidRPr="005B2CDA" w:rsidRDefault="007E4D03" w:rsidP="007E4D03">
      <w:pPr>
        <w:spacing w:after="0" w:line="480" w:lineRule="auto"/>
        <w:rPr>
          <w:rFonts w:ascii="Arial" w:hAnsi="Arial" w:cs="Arial"/>
          <w:b/>
          <w:bCs/>
        </w:rPr>
      </w:pPr>
      <w:r w:rsidRPr="005B2CDA">
        <w:rPr>
          <w:rFonts w:ascii="Arial" w:hAnsi="Arial" w:cs="Arial"/>
          <w:b/>
          <w:bCs/>
        </w:rPr>
        <w:t>ATTRA</w:t>
      </w:r>
      <w:r w:rsidRPr="00CA3512">
        <w:rPr>
          <w:rFonts w:ascii="Arial" w:hAnsi="Arial" w:cs="Arial"/>
        </w:rPr>
        <w:t xml:space="preserve"> (Anti-TNF Therapy in Rheumatoid Arthritis)</w:t>
      </w:r>
    </w:p>
    <w:p w14:paraId="1863D04B" w14:textId="77777777" w:rsidR="007E4D03" w:rsidRDefault="007E4D03" w:rsidP="007E4D03">
      <w:pPr>
        <w:spacing w:after="0" w:line="480" w:lineRule="auto"/>
        <w:rPr>
          <w:rFonts w:ascii="Arial" w:hAnsi="Arial" w:cs="Arial"/>
        </w:rPr>
      </w:pPr>
      <w:r>
        <w:rPr>
          <w:rFonts w:ascii="Arial" w:hAnsi="Arial" w:cs="Arial"/>
        </w:rPr>
        <w:t>IRs</w:t>
      </w:r>
      <w:r w:rsidRPr="00833BB9">
        <w:rPr>
          <w:rFonts w:ascii="Arial" w:hAnsi="Arial" w:cs="Arial"/>
        </w:rPr>
        <w:t xml:space="preserve"> were calculated as</w:t>
      </w:r>
      <w:r>
        <w:rPr>
          <w:rFonts w:ascii="Arial" w:hAnsi="Arial" w:cs="Arial"/>
        </w:rPr>
        <w:t xml:space="preserve"> the</w:t>
      </w:r>
      <w:r w:rsidRPr="00833BB9">
        <w:rPr>
          <w:rFonts w:ascii="Arial" w:hAnsi="Arial" w:cs="Arial"/>
        </w:rPr>
        <w:t xml:space="preserve"> number of events per 100</w:t>
      </w:r>
      <w:r>
        <w:rPr>
          <w:rFonts w:ascii="Arial" w:hAnsi="Arial" w:cs="Arial"/>
        </w:rPr>
        <w:t>0</w:t>
      </w:r>
      <w:r w:rsidRPr="00833BB9">
        <w:rPr>
          <w:rFonts w:ascii="Arial" w:hAnsi="Arial" w:cs="Arial"/>
        </w:rPr>
        <w:t xml:space="preserve"> total</w:t>
      </w:r>
      <w:r>
        <w:rPr>
          <w:rFonts w:ascii="Arial" w:hAnsi="Arial" w:cs="Arial"/>
        </w:rPr>
        <w:t xml:space="preserve"> patient-years (</w:t>
      </w:r>
      <w:r w:rsidRPr="00833BB9">
        <w:rPr>
          <w:rFonts w:ascii="Arial" w:hAnsi="Arial" w:cs="Arial"/>
        </w:rPr>
        <w:t>p-y</w:t>
      </w:r>
      <w:r>
        <w:rPr>
          <w:rFonts w:ascii="Arial" w:hAnsi="Arial" w:cs="Arial"/>
        </w:rPr>
        <w:t>)</w:t>
      </w:r>
      <w:r w:rsidRPr="00833BB9">
        <w:rPr>
          <w:rFonts w:ascii="Arial" w:hAnsi="Arial" w:cs="Arial"/>
        </w:rPr>
        <w:t xml:space="preserve"> of follow-up. </w:t>
      </w:r>
      <w:r>
        <w:rPr>
          <w:rFonts w:ascii="Arial" w:hAnsi="Arial" w:cs="Arial"/>
        </w:rPr>
        <w:t>IRs</w:t>
      </w:r>
      <w:r w:rsidRPr="00833BB9">
        <w:rPr>
          <w:rFonts w:ascii="Arial" w:hAnsi="Arial" w:cs="Arial"/>
        </w:rPr>
        <w:t xml:space="preserve"> are followed by 95% Poisson </w:t>
      </w:r>
      <w:r>
        <w:rPr>
          <w:rFonts w:ascii="Arial" w:hAnsi="Arial" w:cs="Arial"/>
        </w:rPr>
        <w:t>CIs</w:t>
      </w:r>
      <w:r w:rsidRPr="00833BB9">
        <w:rPr>
          <w:rFonts w:ascii="Arial" w:hAnsi="Arial" w:cs="Arial"/>
        </w:rPr>
        <w:t>. Abatacept p-y were computed</w:t>
      </w:r>
      <w:r>
        <w:rPr>
          <w:rFonts w:ascii="Arial" w:hAnsi="Arial" w:cs="Arial"/>
        </w:rPr>
        <w:t xml:space="preserve"> </w:t>
      </w:r>
      <w:r w:rsidRPr="00833BB9">
        <w:rPr>
          <w:rFonts w:ascii="Arial" w:hAnsi="Arial" w:cs="Arial"/>
        </w:rPr>
        <w:t>from the start of abatacept treatment to the end of abatacept follow-up (i</w:t>
      </w:r>
      <w:r>
        <w:rPr>
          <w:rFonts w:ascii="Arial" w:hAnsi="Arial" w:cs="Arial"/>
        </w:rPr>
        <w:t>.</w:t>
      </w:r>
      <w:r w:rsidRPr="00833BB9">
        <w:rPr>
          <w:rFonts w:ascii="Arial" w:hAnsi="Arial" w:cs="Arial"/>
        </w:rPr>
        <w:t>e</w:t>
      </w:r>
      <w:r>
        <w:rPr>
          <w:rFonts w:ascii="Arial" w:hAnsi="Arial" w:cs="Arial"/>
        </w:rPr>
        <w:t>.</w:t>
      </w:r>
      <w:r w:rsidRPr="00833BB9">
        <w:rPr>
          <w:rFonts w:ascii="Arial" w:hAnsi="Arial" w:cs="Arial"/>
        </w:rPr>
        <w:t xml:space="preserve"> switch to another</w:t>
      </w:r>
      <w:r>
        <w:rPr>
          <w:rFonts w:ascii="Arial" w:hAnsi="Arial" w:cs="Arial"/>
        </w:rPr>
        <w:t xml:space="preserve"> </w:t>
      </w:r>
      <w:r w:rsidRPr="00833BB9">
        <w:rPr>
          <w:rFonts w:ascii="Arial" w:hAnsi="Arial" w:cs="Arial"/>
        </w:rPr>
        <w:t>treatment, death, end of study</w:t>
      </w:r>
      <w:r>
        <w:rPr>
          <w:rFonts w:ascii="Arial" w:hAnsi="Arial" w:cs="Arial"/>
        </w:rPr>
        <w:t>,</w:t>
      </w:r>
      <w:r w:rsidRPr="00833BB9">
        <w:rPr>
          <w:rFonts w:ascii="Arial" w:hAnsi="Arial" w:cs="Arial"/>
        </w:rPr>
        <w:t xml:space="preserve"> or withdrawal from the registry). Information about adverse</w:t>
      </w:r>
      <w:r>
        <w:rPr>
          <w:rFonts w:ascii="Arial" w:hAnsi="Arial" w:cs="Arial"/>
        </w:rPr>
        <w:t xml:space="preserve"> </w:t>
      </w:r>
      <w:r w:rsidRPr="00833BB9">
        <w:rPr>
          <w:rFonts w:ascii="Arial" w:hAnsi="Arial" w:cs="Arial"/>
        </w:rPr>
        <w:t>events</w:t>
      </w:r>
      <w:r>
        <w:rPr>
          <w:rFonts w:ascii="Arial" w:hAnsi="Arial" w:cs="Arial"/>
        </w:rPr>
        <w:t xml:space="preserve"> </w:t>
      </w:r>
      <w:r w:rsidRPr="00833BB9">
        <w:rPr>
          <w:rFonts w:ascii="Arial" w:hAnsi="Arial" w:cs="Arial"/>
        </w:rPr>
        <w:t xml:space="preserve">was gained using </w:t>
      </w:r>
      <w:r w:rsidRPr="002C401B">
        <w:rPr>
          <w:rFonts w:ascii="Arial" w:hAnsi="Arial" w:cs="Arial"/>
        </w:rPr>
        <w:t>Medical Dictionary for Drug Regulatory Activities</w:t>
      </w:r>
      <w:r w:rsidRPr="00833BB9">
        <w:rPr>
          <w:rFonts w:ascii="Arial" w:hAnsi="Arial" w:cs="Arial"/>
        </w:rPr>
        <w:t xml:space="preserve"> </w:t>
      </w:r>
      <w:r>
        <w:rPr>
          <w:rFonts w:ascii="Arial" w:hAnsi="Arial" w:cs="Arial"/>
        </w:rPr>
        <w:t>(</w:t>
      </w:r>
      <w:r w:rsidRPr="00833BB9">
        <w:rPr>
          <w:rFonts w:ascii="Arial" w:hAnsi="Arial" w:cs="Arial"/>
        </w:rPr>
        <w:t>MedDRA</w:t>
      </w:r>
      <w:r>
        <w:rPr>
          <w:rFonts w:ascii="Arial" w:hAnsi="Arial" w:cs="Arial"/>
        </w:rPr>
        <w:t>)</w:t>
      </w:r>
      <w:r w:rsidRPr="00833BB9">
        <w:rPr>
          <w:rFonts w:ascii="Arial" w:hAnsi="Arial" w:cs="Arial"/>
        </w:rPr>
        <w:t xml:space="preserve"> system coding.</w:t>
      </w:r>
    </w:p>
    <w:p w14:paraId="483A9481" w14:textId="77777777" w:rsidR="007E4D03" w:rsidRPr="00833BB9" w:rsidRDefault="007E4D03" w:rsidP="007E4D03">
      <w:pPr>
        <w:spacing w:after="0" w:line="480" w:lineRule="auto"/>
        <w:rPr>
          <w:rFonts w:ascii="Arial" w:hAnsi="Arial" w:cs="Arial"/>
        </w:rPr>
      </w:pPr>
    </w:p>
    <w:p w14:paraId="0A5FE8BE" w14:textId="77777777" w:rsidR="007E4D03" w:rsidRPr="005B2CDA" w:rsidRDefault="007E4D03" w:rsidP="007E4D03">
      <w:pPr>
        <w:spacing w:after="0" w:line="480" w:lineRule="auto"/>
        <w:rPr>
          <w:rFonts w:ascii="Arial" w:hAnsi="Arial" w:cs="Arial"/>
          <w:b/>
          <w:bCs/>
        </w:rPr>
      </w:pPr>
      <w:r w:rsidRPr="005B2CDA">
        <w:rPr>
          <w:rFonts w:ascii="Arial" w:hAnsi="Arial" w:cs="Arial"/>
          <w:b/>
          <w:bCs/>
        </w:rPr>
        <w:t>DANBIO</w:t>
      </w:r>
      <w:r w:rsidRPr="00CA3512">
        <w:rPr>
          <w:rFonts w:ascii="Arial" w:hAnsi="Arial" w:cs="Arial"/>
        </w:rPr>
        <w:t xml:space="preserve"> (Danish Rheumatologic Database)</w:t>
      </w:r>
    </w:p>
    <w:p w14:paraId="1C706644" w14:textId="77777777" w:rsidR="007E4D03" w:rsidRDefault="007E4D03" w:rsidP="007E4D03">
      <w:pPr>
        <w:spacing w:after="0" w:line="480" w:lineRule="auto"/>
        <w:rPr>
          <w:rFonts w:ascii="Arial" w:hAnsi="Arial" w:cs="Arial"/>
        </w:rPr>
      </w:pPr>
      <w:r>
        <w:rPr>
          <w:rFonts w:ascii="Arial" w:hAnsi="Arial" w:cs="Arial"/>
        </w:rPr>
        <w:t>For infections, a</w:t>
      </w:r>
      <w:r w:rsidRPr="00051B46">
        <w:rPr>
          <w:rFonts w:ascii="Arial" w:hAnsi="Arial" w:cs="Arial"/>
        </w:rPr>
        <w:t xml:space="preserve">batacept </w:t>
      </w:r>
      <w:r>
        <w:rPr>
          <w:rFonts w:ascii="Arial" w:hAnsi="Arial" w:cs="Arial"/>
        </w:rPr>
        <w:t>exposure was calculated from the</w:t>
      </w:r>
      <w:r w:rsidRPr="00051B46">
        <w:rPr>
          <w:rFonts w:ascii="Arial" w:hAnsi="Arial" w:cs="Arial"/>
        </w:rPr>
        <w:t xml:space="preserve"> date of treatment start (index date) until the event of interest, death, emigration</w:t>
      </w:r>
      <w:r>
        <w:rPr>
          <w:rFonts w:ascii="Arial" w:hAnsi="Arial" w:cs="Arial"/>
        </w:rPr>
        <w:t>,</w:t>
      </w:r>
      <w:r w:rsidRPr="00051B46">
        <w:rPr>
          <w:rFonts w:ascii="Arial" w:hAnsi="Arial" w:cs="Arial"/>
        </w:rPr>
        <w:t xml:space="preserve"> or end of follow-up (</w:t>
      </w:r>
      <w:r>
        <w:rPr>
          <w:rFonts w:ascii="Arial" w:hAnsi="Arial" w:cs="Arial"/>
        </w:rPr>
        <w:t xml:space="preserve">3 December </w:t>
      </w:r>
      <w:r w:rsidRPr="00051B46">
        <w:rPr>
          <w:rFonts w:ascii="Arial" w:hAnsi="Arial" w:cs="Arial"/>
        </w:rPr>
        <w:t>2017), whichever occurred first.</w:t>
      </w:r>
      <w:r>
        <w:rPr>
          <w:rFonts w:ascii="Arial" w:hAnsi="Arial" w:cs="Arial"/>
        </w:rPr>
        <w:t xml:space="preserve"> </w:t>
      </w:r>
      <w:r w:rsidRPr="00051B46">
        <w:rPr>
          <w:rFonts w:ascii="Arial" w:hAnsi="Arial" w:cs="Arial"/>
        </w:rPr>
        <w:t xml:space="preserve">IRs for infections </w:t>
      </w:r>
      <w:r>
        <w:rPr>
          <w:rFonts w:ascii="Arial" w:hAnsi="Arial" w:cs="Arial"/>
        </w:rPr>
        <w:t>were computed</w:t>
      </w:r>
      <w:r w:rsidRPr="00051B46">
        <w:rPr>
          <w:rFonts w:ascii="Arial" w:hAnsi="Arial" w:cs="Arial"/>
        </w:rPr>
        <w:t xml:space="preserve"> as number of events per 100</w:t>
      </w:r>
      <w:r>
        <w:rPr>
          <w:rFonts w:ascii="Arial" w:hAnsi="Arial" w:cs="Arial"/>
        </w:rPr>
        <w:t>0</w:t>
      </w:r>
      <w:r w:rsidRPr="00051B46">
        <w:rPr>
          <w:rFonts w:ascii="Arial" w:hAnsi="Arial" w:cs="Arial"/>
        </w:rPr>
        <w:t xml:space="preserve"> exposed</w:t>
      </w:r>
      <w:r>
        <w:rPr>
          <w:rFonts w:ascii="Arial" w:hAnsi="Arial" w:cs="Arial"/>
        </w:rPr>
        <w:t xml:space="preserve"> p-y</w:t>
      </w:r>
      <w:r w:rsidRPr="00051B46">
        <w:rPr>
          <w:rFonts w:ascii="Arial" w:hAnsi="Arial" w:cs="Arial"/>
        </w:rPr>
        <w:t xml:space="preserve"> of follow-up with associated 95% CI</w:t>
      </w:r>
      <w:r>
        <w:rPr>
          <w:rFonts w:ascii="Arial" w:hAnsi="Arial" w:cs="Arial"/>
        </w:rPr>
        <w:t>s</w:t>
      </w:r>
      <w:r w:rsidRPr="00051B46">
        <w:rPr>
          <w:rFonts w:ascii="Arial" w:hAnsi="Arial" w:cs="Arial"/>
        </w:rPr>
        <w:t>. Patients contributed exposed follow-up time from date of first</w:t>
      </w:r>
      <w:r>
        <w:rPr>
          <w:rFonts w:ascii="Arial" w:hAnsi="Arial" w:cs="Arial"/>
        </w:rPr>
        <w:t xml:space="preserve"> </w:t>
      </w:r>
      <w:r w:rsidRPr="00051B46">
        <w:rPr>
          <w:rFonts w:ascii="Arial" w:hAnsi="Arial" w:cs="Arial"/>
        </w:rPr>
        <w:t xml:space="preserve">treatment of either </w:t>
      </w:r>
      <w:r>
        <w:rPr>
          <w:rFonts w:ascii="Arial" w:hAnsi="Arial" w:cs="Arial"/>
        </w:rPr>
        <w:t>tumor necrosis factor (TNF) inhibitor</w:t>
      </w:r>
      <w:r w:rsidRPr="00051B46">
        <w:rPr>
          <w:rFonts w:ascii="Arial" w:hAnsi="Arial" w:cs="Arial"/>
        </w:rPr>
        <w:t xml:space="preserve"> treatment or non-TNF b</w:t>
      </w:r>
      <w:r>
        <w:rPr>
          <w:rFonts w:ascii="Arial" w:hAnsi="Arial" w:cs="Arial"/>
        </w:rPr>
        <w:t>iologic (b) disease-modifying antirheumatic drugs (DMARDs)</w:t>
      </w:r>
      <w:r w:rsidRPr="00051B46">
        <w:rPr>
          <w:rFonts w:ascii="Arial" w:hAnsi="Arial" w:cs="Arial"/>
        </w:rPr>
        <w:t xml:space="preserve"> or 15</w:t>
      </w:r>
      <w:r>
        <w:rPr>
          <w:rFonts w:ascii="Arial" w:hAnsi="Arial" w:cs="Arial"/>
        </w:rPr>
        <w:t xml:space="preserve"> June </w:t>
      </w:r>
      <w:r w:rsidRPr="00051B46">
        <w:rPr>
          <w:rFonts w:ascii="Arial" w:hAnsi="Arial" w:cs="Arial"/>
        </w:rPr>
        <w:t>2007 (whichever</w:t>
      </w:r>
      <w:r>
        <w:rPr>
          <w:rFonts w:ascii="Arial" w:hAnsi="Arial" w:cs="Arial"/>
        </w:rPr>
        <w:t xml:space="preserve"> </w:t>
      </w:r>
      <w:r w:rsidRPr="00051B46">
        <w:rPr>
          <w:rFonts w:ascii="Arial" w:hAnsi="Arial" w:cs="Arial"/>
        </w:rPr>
        <w:t>occurred latest) until 90 days after last treatment within the specific exposure group</w:t>
      </w:r>
      <w:r>
        <w:rPr>
          <w:rFonts w:ascii="Arial" w:hAnsi="Arial" w:cs="Arial"/>
        </w:rPr>
        <w:t>.</w:t>
      </w:r>
    </w:p>
    <w:p w14:paraId="1F0FFCBF" w14:textId="77777777" w:rsidR="007E4D03" w:rsidRDefault="007E4D03" w:rsidP="007E4D03">
      <w:pPr>
        <w:spacing w:after="0" w:line="480" w:lineRule="auto"/>
        <w:ind w:firstLine="720"/>
        <w:rPr>
          <w:rFonts w:ascii="Arial" w:hAnsi="Arial" w:cs="Arial"/>
        </w:rPr>
      </w:pPr>
      <w:r>
        <w:rPr>
          <w:rFonts w:ascii="Arial" w:hAnsi="Arial" w:cs="Arial"/>
        </w:rPr>
        <w:lastRenderedPageBreak/>
        <w:t xml:space="preserve">For malignancies, </w:t>
      </w:r>
      <w:r w:rsidRPr="001210FD">
        <w:rPr>
          <w:rFonts w:ascii="Arial" w:hAnsi="Arial" w:cs="Arial"/>
        </w:rPr>
        <w:t xml:space="preserve">exposure was calculated as the total follow-up time up </w:t>
      </w:r>
      <w:r>
        <w:rPr>
          <w:rFonts w:ascii="Arial" w:hAnsi="Arial" w:cs="Arial"/>
        </w:rPr>
        <w:t>until</w:t>
      </w:r>
      <w:r w:rsidRPr="001210FD">
        <w:rPr>
          <w:rFonts w:ascii="Arial" w:hAnsi="Arial" w:cs="Arial"/>
        </w:rPr>
        <w:t xml:space="preserve"> the last follow-up date, end of the study</w:t>
      </w:r>
      <w:r>
        <w:rPr>
          <w:rFonts w:ascii="Arial" w:hAnsi="Arial" w:cs="Arial"/>
        </w:rPr>
        <w:t>,</w:t>
      </w:r>
      <w:r w:rsidRPr="001210FD">
        <w:rPr>
          <w:rFonts w:ascii="Arial" w:hAnsi="Arial" w:cs="Arial"/>
        </w:rPr>
        <w:t xml:space="preserve"> or death, whichever occurred first</w:t>
      </w:r>
      <w:r>
        <w:rPr>
          <w:rFonts w:ascii="Arial" w:hAnsi="Arial" w:cs="Arial"/>
        </w:rPr>
        <w:t xml:space="preserve">, </w:t>
      </w:r>
      <w:r w:rsidRPr="001210FD">
        <w:rPr>
          <w:rFonts w:ascii="Arial" w:hAnsi="Arial" w:cs="Arial"/>
        </w:rPr>
        <w:t>but excluded the first 180 days from first exposure to abatacept (index date)</w:t>
      </w:r>
      <w:r>
        <w:rPr>
          <w:rFonts w:ascii="Arial" w:hAnsi="Arial" w:cs="Arial"/>
        </w:rPr>
        <w:t xml:space="preserve">. </w:t>
      </w:r>
      <w:r w:rsidRPr="00833BB9">
        <w:rPr>
          <w:rFonts w:ascii="Arial" w:hAnsi="Arial" w:cs="Arial"/>
        </w:rPr>
        <w:t xml:space="preserve">IRs were computed as </w:t>
      </w:r>
      <w:r>
        <w:rPr>
          <w:rFonts w:ascii="Arial" w:hAnsi="Arial" w:cs="Arial"/>
        </w:rPr>
        <w:t xml:space="preserve">the </w:t>
      </w:r>
      <w:r w:rsidRPr="00833BB9">
        <w:rPr>
          <w:rFonts w:ascii="Arial" w:hAnsi="Arial" w:cs="Arial"/>
        </w:rPr>
        <w:t>number of events per 100</w:t>
      </w:r>
      <w:r>
        <w:rPr>
          <w:rFonts w:ascii="Arial" w:hAnsi="Arial" w:cs="Arial"/>
        </w:rPr>
        <w:t>0</w:t>
      </w:r>
      <w:r w:rsidRPr="00833BB9">
        <w:rPr>
          <w:rFonts w:ascii="Arial" w:hAnsi="Arial" w:cs="Arial"/>
        </w:rPr>
        <w:t xml:space="preserve"> total p-y of follow-up</w:t>
      </w:r>
      <w:r>
        <w:rPr>
          <w:rFonts w:ascii="Arial" w:hAnsi="Arial" w:cs="Arial"/>
        </w:rPr>
        <w:t xml:space="preserve"> </w:t>
      </w:r>
      <w:r w:rsidRPr="00833BB9">
        <w:rPr>
          <w:rFonts w:ascii="Arial" w:hAnsi="Arial" w:cs="Arial"/>
        </w:rPr>
        <w:t>without inclusion of the first 180 days after first exposure</w:t>
      </w:r>
      <w:r>
        <w:rPr>
          <w:rFonts w:ascii="Arial" w:hAnsi="Arial" w:cs="Arial"/>
        </w:rPr>
        <w:t xml:space="preserve"> to abatacept</w:t>
      </w:r>
      <w:r w:rsidRPr="00833BB9">
        <w:rPr>
          <w:rFonts w:ascii="Arial" w:hAnsi="Arial" w:cs="Arial"/>
        </w:rPr>
        <w:t xml:space="preserve">. </w:t>
      </w:r>
      <w:r>
        <w:rPr>
          <w:rFonts w:ascii="Arial" w:hAnsi="Arial" w:cs="Arial"/>
        </w:rPr>
        <w:t>P</w:t>
      </w:r>
      <w:r w:rsidRPr="00833BB9">
        <w:rPr>
          <w:rFonts w:ascii="Arial" w:hAnsi="Arial" w:cs="Arial"/>
        </w:rPr>
        <w:t xml:space="preserve">atients </w:t>
      </w:r>
      <w:r>
        <w:rPr>
          <w:rFonts w:ascii="Arial" w:hAnsi="Arial" w:cs="Arial"/>
        </w:rPr>
        <w:t>with</w:t>
      </w:r>
      <w:r w:rsidRPr="00833BB9">
        <w:rPr>
          <w:rFonts w:ascii="Arial" w:hAnsi="Arial" w:cs="Arial"/>
        </w:rPr>
        <w:t xml:space="preserve"> previous diagnoses of </w:t>
      </w:r>
      <w:r>
        <w:rPr>
          <w:rFonts w:ascii="Arial" w:hAnsi="Arial" w:cs="Arial"/>
        </w:rPr>
        <w:t>any</w:t>
      </w:r>
      <w:r w:rsidRPr="00833BB9">
        <w:rPr>
          <w:rFonts w:ascii="Arial" w:hAnsi="Arial" w:cs="Arial"/>
        </w:rPr>
        <w:t xml:space="preserve"> cancer </w:t>
      </w:r>
      <w:r>
        <w:rPr>
          <w:rFonts w:ascii="Arial" w:hAnsi="Arial" w:cs="Arial"/>
        </w:rPr>
        <w:t>(</w:t>
      </w:r>
      <w:r w:rsidRPr="00833BB9">
        <w:rPr>
          <w:rFonts w:ascii="Arial" w:hAnsi="Arial" w:cs="Arial"/>
        </w:rPr>
        <w:t>except non</w:t>
      </w:r>
      <w:r>
        <w:rPr>
          <w:rFonts w:ascii="Arial" w:hAnsi="Arial" w:cs="Arial"/>
        </w:rPr>
        <w:t>-</w:t>
      </w:r>
      <w:r w:rsidRPr="00833BB9">
        <w:rPr>
          <w:rFonts w:ascii="Arial" w:hAnsi="Arial" w:cs="Arial"/>
        </w:rPr>
        <w:t>melanoma skin cancer)</w:t>
      </w:r>
      <w:r>
        <w:rPr>
          <w:rFonts w:ascii="Arial" w:hAnsi="Arial" w:cs="Arial"/>
        </w:rPr>
        <w:t xml:space="preserve"> </w:t>
      </w:r>
      <w:r w:rsidRPr="00833BB9">
        <w:rPr>
          <w:rFonts w:ascii="Arial" w:hAnsi="Arial" w:cs="Arial"/>
        </w:rPr>
        <w:t>were excluded when</w:t>
      </w:r>
      <w:r>
        <w:rPr>
          <w:rFonts w:ascii="Arial" w:hAnsi="Arial" w:cs="Arial"/>
        </w:rPr>
        <w:t xml:space="preserve"> </w:t>
      </w:r>
      <w:r w:rsidRPr="00833BB9">
        <w:rPr>
          <w:rFonts w:ascii="Arial" w:hAnsi="Arial" w:cs="Arial"/>
        </w:rPr>
        <w:t xml:space="preserve">computing IRs. If the number of outcomes was &gt;25, analyses were presented for </w:t>
      </w:r>
      <w:r>
        <w:rPr>
          <w:rFonts w:ascii="Arial" w:hAnsi="Arial" w:cs="Arial"/>
        </w:rPr>
        <w:t>patients</w:t>
      </w:r>
      <w:r w:rsidRPr="002132B1">
        <w:rPr>
          <w:rFonts w:ascii="Arial" w:hAnsi="Arial" w:cs="Arial"/>
        </w:rPr>
        <w:t xml:space="preserve"> </w:t>
      </w:r>
      <w:r>
        <w:rPr>
          <w:rFonts w:ascii="Arial" w:hAnsi="Arial" w:cs="Arial"/>
        </w:rPr>
        <w:t xml:space="preserve">receiving </w:t>
      </w:r>
      <w:r w:rsidRPr="00833BB9">
        <w:rPr>
          <w:rFonts w:ascii="Arial" w:hAnsi="Arial" w:cs="Arial"/>
        </w:rPr>
        <w:t>first-line</w:t>
      </w:r>
      <w:r>
        <w:rPr>
          <w:rFonts w:ascii="Arial" w:hAnsi="Arial" w:cs="Arial"/>
        </w:rPr>
        <w:t xml:space="preserve"> </w:t>
      </w:r>
      <w:r w:rsidRPr="00833BB9">
        <w:rPr>
          <w:rFonts w:ascii="Arial" w:hAnsi="Arial" w:cs="Arial"/>
        </w:rPr>
        <w:t>treat</w:t>
      </w:r>
      <w:r>
        <w:rPr>
          <w:rFonts w:ascii="Arial" w:hAnsi="Arial" w:cs="Arial"/>
        </w:rPr>
        <w:t xml:space="preserve">ment </w:t>
      </w:r>
      <w:r w:rsidRPr="00833BB9">
        <w:rPr>
          <w:rFonts w:ascii="Arial" w:hAnsi="Arial" w:cs="Arial"/>
        </w:rPr>
        <w:t>and switchers as well as combined</w:t>
      </w:r>
      <w:r>
        <w:rPr>
          <w:rFonts w:ascii="Arial" w:hAnsi="Arial" w:cs="Arial"/>
        </w:rPr>
        <w:t xml:space="preserve"> therapy.</w:t>
      </w:r>
    </w:p>
    <w:p w14:paraId="435FEE26" w14:textId="77777777" w:rsidR="007E4D03" w:rsidRDefault="007E4D03" w:rsidP="007E4D03">
      <w:pPr>
        <w:spacing w:after="0" w:line="480" w:lineRule="auto"/>
        <w:rPr>
          <w:rFonts w:ascii="Arial" w:hAnsi="Arial" w:cs="Arial"/>
        </w:rPr>
      </w:pPr>
    </w:p>
    <w:p w14:paraId="523FFB93" w14:textId="77777777" w:rsidR="007E4D03" w:rsidRPr="005B2CDA" w:rsidRDefault="007E4D03" w:rsidP="007E4D03">
      <w:pPr>
        <w:spacing w:after="0" w:line="480" w:lineRule="auto"/>
        <w:rPr>
          <w:rFonts w:ascii="Arial" w:hAnsi="Arial" w:cs="Arial"/>
          <w:b/>
          <w:bCs/>
        </w:rPr>
      </w:pPr>
      <w:r w:rsidRPr="005B2CDA">
        <w:rPr>
          <w:rFonts w:ascii="Arial" w:hAnsi="Arial" w:cs="Arial"/>
          <w:b/>
          <w:bCs/>
        </w:rPr>
        <w:t>ROB-FIN</w:t>
      </w:r>
      <w:r>
        <w:rPr>
          <w:rFonts w:ascii="Arial" w:hAnsi="Arial" w:cs="Arial"/>
          <w:b/>
          <w:bCs/>
        </w:rPr>
        <w:t xml:space="preserve"> </w:t>
      </w:r>
      <w:r w:rsidRPr="00CA3512">
        <w:rPr>
          <w:rFonts w:ascii="Arial" w:hAnsi="Arial" w:cs="Arial"/>
        </w:rPr>
        <w:t>(</w:t>
      </w:r>
      <w:r w:rsidRPr="002132B1">
        <w:rPr>
          <w:rFonts w:ascii="Arial" w:hAnsi="Arial" w:cs="Arial"/>
        </w:rPr>
        <w:t>National Registry of Biological Treatment in Finland</w:t>
      </w:r>
      <w:r w:rsidRPr="00CA3512">
        <w:rPr>
          <w:rFonts w:ascii="Arial" w:hAnsi="Arial" w:cs="Arial"/>
        </w:rPr>
        <w:t>)</w:t>
      </w:r>
    </w:p>
    <w:p w14:paraId="7BA31316" w14:textId="77777777" w:rsidR="007E4D03" w:rsidRDefault="007E4D03" w:rsidP="007E4D03">
      <w:pPr>
        <w:spacing w:after="0" w:line="480" w:lineRule="auto"/>
        <w:rPr>
          <w:rFonts w:ascii="Arial" w:hAnsi="Arial" w:cs="Arial"/>
        </w:rPr>
      </w:pPr>
      <w:r w:rsidRPr="00833BB9">
        <w:rPr>
          <w:rFonts w:ascii="Arial" w:hAnsi="Arial" w:cs="Arial"/>
        </w:rPr>
        <w:t>Infections requiring hospitali</w:t>
      </w:r>
      <w:r>
        <w:rPr>
          <w:rFonts w:ascii="Arial" w:hAnsi="Arial" w:cs="Arial"/>
        </w:rPr>
        <w:t>z</w:t>
      </w:r>
      <w:r w:rsidRPr="00833BB9">
        <w:rPr>
          <w:rFonts w:ascii="Arial" w:hAnsi="Arial" w:cs="Arial"/>
        </w:rPr>
        <w:t>ation were identified from the Care Register for Health Care. All</w:t>
      </w:r>
      <w:r>
        <w:rPr>
          <w:rFonts w:ascii="Arial" w:hAnsi="Arial" w:cs="Arial"/>
        </w:rPr>
        <w:t xml:space="preserve"> </w:t>
      </w:r>
      <w:r w:rsidRPr="00833BB9">
        <w:rPr>
          <w:rFonts w:ascii="Arial" w:hAnsi="Arial" w:cs="Arial"/>
        </w:rPr>
        <w:t>hospitali</w:t>
      </w:r>
      <w:r>
        <w:rPr>
          <w:rFonts w:ascii="Arial" w:hAnsi="Arial" w:cs="Arial"/>
        </w:rPr>
        <w:t>z</w:t>
      </w:r>
      <w:r w:rsidRPr="00833BB9">
        <w:rPr>
          <w:rFonts w:ascii="Arial" w:hAnsi="Arial" w:cs="Arial"/>
        </w:rPr>
        <w:t xml:space="preserve">ations due to a valid </w:t>
      </w:r>
      <w:bookmarkStart w:id="3" w:name="_Hlk116908555"/>
      <w:r>
        <w:rPr>
          <w:rFonts w:ascii="Arial" w:hAnsi="Arial" w:cs="Arial"/>
        </w:rPr>
        <w:t>International Classification of Diseases, Tenth Edition</w:t>
      </w:r>
      <w:bookmarkEnd w:id="3"/>
      <w:r>
        <w:rPr>
          <w:rFonts w:ascii="Arial" w:hAnsi="Arial" w:cs="Arial"/>
        </w:rPr>
        <w:t xml:space="preserve"> (</w:t>
      </w:r>
      <w:r w:rsidRPr="00833BB9">
        <w:rPr>
          <w:rFonts w:ascii="Arial" w:hAnsi="Arial" w:cs="Arial"/>
        </w:rPr>
        <w:t>ICD-10</w:t>
      </w:r>
      <w:r>
        <w:rPr>
          <w:rFonts w:ascii="Arial" w:hAnsi="Arial" w:cs="Arial"/>
        </w:rPr>
        <w:t>)</w:t>
      </w:r>
      <w:r w:rsidRPr="00833BB9">
        <w:rPr>
          <w:rFonts w:ascii="Arial" w:hAnsi="Arial" w:cs="Arial"/>
        </w:rPr>
        <w:t xml:space="preserve"> code (primary or secondary diagnosis) were included, but</w:t>
      </w:r>
      <w:r>
        <w:rPr>
          <w:rFonts w:ascii="Arial" w:hAnsi="Arial" w:cs="Arial"/>
        </w:rPr>
        <w:t xml:space="preserve"> </w:t>
      </w:r>
      <w:r w:rsidRPr="00833BB9">
        <w:rPr>
          <w:rFonts w:ascii="Arial" w:hAnsi="Arial" w:cs="Arial"/>
        </w:rPr>
        <w:t>subsequent hospitali</w:t>
      </w:r>
      <w:r>
        <w:rPr>
          <w:rFonts w:ascii="Arial" w:hAnsi="Arial" w:cs="Arial"/>
        </w:rPr>
        <w:t>z</w:t>
      </w:r>
      <w:r w:rsidRPr="00833BB9">
        <w:rPr>
          <w:rFonts w:ascii="Arial" w:hAnsi="Arial" w:cs="Arial"/>
        </w:rPr>
        <w:t>ations for the same ICD-10 diagnosis code were excluded. A single patient</w:t>
      </w:r>
      <w:r>
        <w:rPr>
          <w:rFonts w:ascii="Arial" w:hAnsi="Arial" w:cs="Arial"/>
        </w:rPr>
        <w:t xml:space="preserve"> </w:t>
      </w:r>
      <w:r w:rsidRPr="00833BB9">
        <w:rPr>
          <w:rFonts w:ascii="Arial" w:hAnsi="Arial" w:cs="Arial"/>
        </w:rPr>
        <w:t>could contribute multiple events to the results.</w:t>
      </w:r>
      <w:r>
        <w:rPr>
          <w:rFonts w:ascii="Arial" w:hAnsi="Arial" w:cs="Arial"/>
        </w:rPr>
        <w:t xml:space="preserve"> </w:t>
      </w:r>
      <w:r w:rsidRPr="00833BB9">
        <w:rPr>
          <w:rFonts w:ascii="Arial" w:hAnsi="Arial" w:cs="Arial"/>
        </w:rPr>
        <w:t>Malignancies were retrieved from the Finnish Cancer Registry.</w:t>
      </w:r>
    </w:p>
    <w:p w14:paraId="3A202748" w14:textId="77777777" w:rsidR="007E4D03" w:rsidRDefault="007E4D03" w:rsidP="007E4D03">
      <w:pPr>
        <w:spacing w:after="0" w:line="480" w:lineRule="auto"/>
        <w:ind w:firstLine="720"/>
        <w:rPr>
          <w:rFonts w:ascii="Arial" w:hAnsi="Arial" w:cs="Arial"/>
        </w:rPr>
      </w:pPr>
      <w:r>
        <w:rPr>
          <w:rFonts w:ascii="Arial" w:hAnsi="Arial" w:cs="Arial"/>
        </w:rPr>
        <w:t>M</w:t>
      </w:r>
      <w:r w:rsidRPr="002C401B">
        <w:rPr>
          <w:rFonts w:ascii="Arial" w:hAnsi="Arial" w:cs="Arial"/>
        </w:rPr>
        <w:t xml:space="preserve">alignancies were captured by linkage to </w:t>
      </w:r>
      <w:r>
        <w:rPr>
          <w:rFonts w:ascii="Arial" w:hAnsi="Arial" w:cs="Arial"/>
        </w:rPr>
        <w:t>the Finnish nationwide social and healthcare data collection and reporting system</w:t>
      </w:r>
      <w:r w:rsidRPr="002C401B">
        <w:rPr>
          <w:rFonts w:ascii="Arial" w:hAnsi="Arial" w:cs="Arial"/>
        </w:rPr>
        <w:t xml:space="preserve"> </w:t>
      </w:r>
      <w:r>
        <w:rPr>
          <w:rFonts w:ascii="Arial" w:hAnsi="Arial" w:cs="Arial"/>
        </w:rPr>
        <w:t xml:space="preserve">(HILMO) </w:t>
      </w:r>
      <w:r w:rsidRPr="002C401B">
        <w:rPr>
          <w:rFonts w:ascii="Arial" w:hAnsi="Arial" w:cs="Arial"/>
        </w:rPr>
        <w:t>and identified according to ICD</w:t>
      </w:r>
      <w:r>
        <w:rPr>
          <w:rFonts w:ascii="Arial" w:hAnsi="Arial" w:cs="Arial"/>
        </w:rPr>
        <w:t>-10</w:t>
      </w:r>
      <w:r w:rsidRPr="002C401B">
        <w:rPr>
          <w:rFonts w:ascii="Arial" w:hAnsi="Arial" w:cs="Arial"/>
        </w:rPr>
        <w:t xml:space="preserve"> codes</w:t>
      </w:r>
      <w:r>
        <w:rPr>
          <w:rFonts w:ascii="Arial" w:hAnsi="Arial" w:cs="Arial"/>
        </w:rPr>
        <w:t>. For malignancies</w:t>
      </w:r>
      <w:r w:rsidRPr="001210FD">
        <w:rPr>
          <w:rFonts w:ascii="Arial" w:hAnsi="Arial" w:cs="Arial"/>
        </w:rPr>
        <w:t>, time of exposure was the period from the beginning of therapy with abatacept relative to reporting of a malignancy event</w:t>
      </w:r>
      <w:r>
        <w:rPr>
          <w:rFonts w:ascii="Arial" w:hAnsi="Arial" w:cs="Arial"/>
        </w:rPr>
        <w:t>.</w:t>
      </w:r>
    </w:p>
    <w:p w14:paraId="7E8FCB65" w14:textId="77777777" w:rsidR="007E4D03" w:rsidRDefault="007E4D03" w:rsidP="007E4D03">
      <w:pPr>
        <w:spacing w:after="0" w:line="480" w:lineRule="auto"/>
        <w:rPr>
          <w:rFonts w:ascii="Arial" w:hAnsi="Arial" w:cs="Arial"/>
        </w:rPr>
      </w:pPr>
    </w:p>
    <w:p w14:paraId="6D7AE484" w14:textId="77777777" w:rsidR="007E4D03" w:rsidRPr="002712A0" w:rsidRDefault="007E4D03" w:rsidP="007E4D03">
      <w:pPr>
        <w:spacing w:after="0" w:line="480" w:lineRule="auto"/>
        <w:rPr>
          <w:rFonts w:ascii="Arial" w:hAnsi="Arial" w:cs="Arial"/>
          <w:b/>
          <w:bCs/>
        </w:rPr>
      </w:pPr>
      <w:r w:rsidRPr="002712A0">
        <w:rPr>
          <w:rFonts w:ascii="Arial" w:hAnsi="Arial" w:cs="Arial"/>
          <w:b/>
          <w:bCs/>
        </w:rPr>
        <w:t>ORA</w:t>
      </w:r>
      <w:r w:rsidRPr="00CA3512">
        <w:rPr>
          <w:rFonts w:ascii="Arial" w:hAnsi="Arial" w:cs="Arial"/>
        </w:rPr>
        <w:t xml:space="preserve"> (</w:t>
      </w:r>
      <w:r w:rsidRPr="002132B1">
        <w:rPr>
          <w:rFonts w:ascii="Arial" w:hAnsi="Arial" w:cs="Arial"/>
        </w:rPr>
        <w:t>Orencia and Rheumatoid Arthritis)</w:t>
      </w:r>
    </w:p>
    <w:p w14:paraId="1E9D7B7D" w14:textId="279F4FAA" w:rsidR="007E4D03" w:rsidRDefault="007E4D03" w:rsidP="007E4D03">
      <w:pPr>
        <w:spacing w:after="0" w:line="480" w:lineRule="auto"/>
        <w:rPr>
          <w:rFonts w:ascii="Arial" w:hAnsi="Arial" w:cs="Arial"/>
        </w:rPr>
      </w:pPr>
      <w:r w:rsidRPr="002712A0">
        <w:rPr>
          <w:rFonts w:ascii="Arial" w:hAnsi="Arial" w:cs="Arial"/>
        </w:rPr>
        <w:t xml:space="preserve">Infection IRs were presented in two ways: the overall severe infection rate (“event rate”) accounting for the entirety of the follow-up period and the amount of infections for those within 3 months following infusion of abatacept (from the first date of infusion to the date of the last </w:t>
      </w:r>
      <w:r w:rsidRPr="004A0230">
        <w:rPr>
          <w:rFonts w:ascii="Arial" w:hAnsi="Arial" w:cs="Arial"/>
        </w:rPr>
        <w:t>infusion +</w:t>
      </w:r>
      <w:r w:rsidR="00A65C2D">
        <w:rPr>
          <w:rFonts w:ascii="Arial" w:hAnsi="Arial" w:cs="Arial"/>
        </w:rPr>
        <w:t xml:space="preserve"> </w:t>
      </w:r>
      <w:r w:rsidRPr="004A0230">
        <w:rPr>
          <w:rFonts w:ascii="Arial" w:hAnsi="Arial" w:cs="Arial"/>
        </w:rPr>
        <w:t>3 months, or the</w:t>
      </w:r>
      <w:r w:rsidRPr="002712A0">
        <w:rPr>
          <w:rFonts w:ascii="Arial" w:hAnsi="Arial" w:cs="Arial"/>
        </w:rPr>
        <w:t xml:space="preserve"> last follow-up date). This latter method corresponds to the rate that was provided to the MAH in the final report from ORA. The ORA registry reports infections as severe infections. These infections require hospitali</w:t>
      </w:r>
      <w:r>
        <w:rPr>
          <w:rFonts w:ascii="Arial" w:hAnsi="Arial" w:cs="Arial"/>
        </w:rPr>
        <w:t>z</w:t>
      </w:r>
      <w:r w:rsidRPr="002712A0">
        <w:rPr>
          <w:rFonts w:ascii="Arial" w:hAnsi="Arial" w:cs="Arial"/>
        </w:rPr>
        <w:t xml:space="preserve">ation, </w:t>
      </w:r>
      <w:r>
        <w:rPr>
          <w:rFonts w:ascii="Arial" w:hAnsi="Arial" w:cs="Arial"/>
        </w:rPr>
        <w:t>intravenous</w:t>
      </w:r>
      <w:r w:rsidRPr="002712A0">
        <w:rPr>
          <w:rFonts w:ascii="Arial" w:hAnsi="Arial" w:cs="Arial"/>
        </w:rPr>
        <w:t xml:space="preserve"> antibiotics, or are fatal.</w:t>
      </w:r>
    </w:p>
    <w:p w14:paraId="1A9734AB" w14:textId="77777777" w:rsidR="007E4D03" w:rsidRPr="00833BB9" w:rsidRDefault="007E4D03" w:rsidP="007E4D03">
      <w:pPr>
        <w:spacing w:after="0" w:line="480" w:lineRule="auto"/>
        <w:ind w:firstLine="720"/>
        <w:rPr>
          <w:rFonts w:ascii="Arial" w:hAnsi="Arial" w:cs="Arial"/>
        </w:rPr>
      </w:pPr>
      <w:r w:rsidRPr="00833BB9">
        <w:rPr>
          <w:rFonts w:ascii="Arial" w:hAnsi="Arial" w:cs="Arial"/>
        </w:rPr>
        <w:t>Adverse event narrative information for malignancy cases was provided in the French ORA</w:t>
      </w:r>
      <w:r>
        <w:rPr>
          <w:rFonts w:ascii="Arial" w:hAnsi="Arial" w:cs="Arial"/>
        </w:rPr>
        <w:t xml:space="preserve"> </w:t>
      </w:r>
      <w:r w:rsidRPr="00833BB9">
        <w:rPr>
          <w:rFonts w:ascii="Arial" w:hAnsi="Arial" w:cs="Arial"/>
        </w:rPr>
        <w:t>report. Follow-up for incidence of cancers is the overall follow-up period.</w:t>
      </w:r>
      <w:r>
        <w:rPr>
          <w:rFonts w:ascii="Arial" w:hAnsi="Arial" w:cs="Arial"/>
        </w:rPr>
        <w:t xml:space="preserve"> </w:t>
      </w:r>
      <w:r w:rsidRPr="00833BB9">
        <w:rPr>
          <w:rFonts w:ascii="Arial" w:hAnsi="Arial" w:cs="Arial"/>
        </w:rPr>
        <w:t xml:space="preserve">No </w:t>
      </w:r>
      <w:r>
        <w:rPr>
          <w:rFonts w:ascii="Arial" w:hAnsi="Arial" w:cs="Arial"/>
        </w:rPr>
        <w:t>CI</w:t>
      </w:r>
      <w:r w:rsidRPr="00833BB9">
        <w:rPr>
          <w:rFonts w:ascii="Arial" w:hAnsi="Arial" w:cs="Arial"/>
        </w:rPr>
        <w:t>s were provided by the ORA registry for any of the incidence rates.</w:t>
      </w:r>
    </w:p>
    <w:p w14:paraId="35CC37D3" w14:textId="77777777" w:rsidR="007E4D03" w:rsidRDefault="007E4D03" w:rsidP="007E4D03">
      <w:pPr>
        <w:spacing w:after="0" w:line="480" w:lineRule="auto"/>
        <w:rPr>
          <w:rFonts w:ascii="Arial" w:hAnsi="Arial" w:cs="Arial"/>
          <w:b/>
          <w:bCs/>
        </w:rPr>
      </w:pPr>
    </w:p>
    <w:p w14:paraId="768659DD" w14:textId="77777777" w:rsidR="007E4D03" w:rsidRPr="0067334E" w:rsidRDefault="007E4D03" w:rsidP="007E4D03">
      <w:pPr>
        <w:spacing w:after="0" w:line="480" w:lineRule="auto"/>
        <w:rPr>
          <w:rFonts w:ascii="Arial" w:hAnsi="Arial" w:cs="Arial"/>
          <w:b/>
          <w:bCs/>
        </w:rPr>
      </w:pPr>
      <w:r w:rsidRPr="0067334E">
        <w:rPr>
          <w:rFonts w:ascii="Arial" w:hAnsi="Arial" w:cs="Arial"/>
          <w:b/>
          <w:bCs/>
        </w:rPr>
        <w:t>GISEA</w:t>
      </w:r>
      <w:r w:rsidRPr="00CA3512">
        <w:rPr>
          <w:rFonts w:ascii="Arial" w:hAnsi="Arial" w:cs="Arial"/>
        </w:rPr>
        <w:t xml:space="preserve"> (</w:t>
      </w:r>
      <w:r w:rsidRPr="002132B1">
        <w:rPr>
          <w:rFonts w:ascii="Arial" w:hAnsi="Arial" w:cs="Arial"/>
        </w:rPr>
        <w:t>Italian Group for the Study of Early Arthritis</w:t>
      </w:r>
      <w:r w:rsidRPr="00CA3512">
        <w:rPr>
          <w:rFonts w:ascii="Arial" w:hAnsi="Arial" w:cs="Arial"/>
        </w:rPr>
        <w:t>)</w:t>
      </w:r>
    </w:p>
    <w:p w14:paraId="1B3266AD" w14:textId="77777777" w:rsidR="007E4D03" w:rsidRDefault="007E4D03" w:rsidP="007E4D03">
      <w:pPr>
        <w:spacing w:after="0" w:line="480" w:lineRule="auto"/>
        <w:rPr>
          <w:rFonts w:ascii="Arial" w:hAnsi="Arial" w:cs="Arial"/>
        </w:rPr>
      </w:pPr>
      <w:r w:rsidRPr="004347AE">
        <w:rPr>
          <w:rFonts w:ascii="Arial" w:hAnsi="Arial" w:cs="Arial"/>
        </w:rPr>
        <w:t>No IRs were provided by the registry.</w:t>
      </w:r>
      <w:r w:rsidRPr="00833BB9">
        <w:rPr>
          <w:rFonts w:ascii="Arial" w:hAnsi="Arial" w:cs="Arial"/>
        </w:rPr>
        <w:t xml:space="preserve"> The MAH calculated the IRs using the mean duration of</w:t>
      </w:r>
      <w:r>
        <w:rPr>
          <w:rFonts w:ascii="Arial" w:hAnsi="Arial" w:cs="Arial"/>
        </w:rPr>
        <w:t xml:space="preserve"> </w:t>
      </w:r>
      <w:r w:rsidRPr="00833BB9">
        <w:rPr>
          <w:rFonts w:ascii="Arial" w:hAnsi="Arial" w:cs="Arial"/>
        </w:rPr>
        <w:t>therapy (in months) taken from Table 8 of the November 2015 GISEA data report (Appendix 6)</w:t>
      </w:r>
      <w:r>
        <w:rPr>
          <w:rFonts w:ascii="Arial" w:hAnsi="Arial" w:cs="Arial"/>
        </w:rPr>
        <w:t xml:space="preserve"> </w:t>
      </w:r>
      <w:r w:rsidRPr="00833BB9">
        <w:rPr>
          <w:rFonts w:ascii="Arial" w:hAnsi="Arial" w:cs="Arial"/>
        </w:rPr>
        <w:t>and the adverse event counts only for infections and neoplasms provided in the March 2014</w:t>
      </w:r>
      <w:r>
        <w:rPr>
          <w:rFonts w:ascii="Arial" w:hAnsi="Arial" w:cs="Arial"/>
        </w:rPr>
        <w:t xml:space="preserve"> </w:t>
      </w:r>
      <w:r w:rsidRPr="00833BB9">
        <w:rPr>
          <w:rFonts w:ascii="Arial" w:hAnsi="Arial" w:cs="Arial"/>
        </w:rPr>
        <w:t xml:space="preserve">GISEA report. The total number of abatacept users for first- and second-line </w:t>
      </w:r>
      <w:r>
        <w:rPr>
          <w:rFonts w:ascii="Arial" w:hAnsi="Arial" w:cs="Arial"/>
        </w:rPr>
        <w:t xml:space="preserve">therapy </w:t>
      </w:r>
      <w:r w:rsidRPr="00833BB9">
        <w:rPr>
          <w:rFonts w:ascii="Arial" w:hAnsi="Arial" w:cs="Arial"/>
        </w:rPr>
        <w:t>was used in the</w:t>
      </w:r>
      <w:r>
        <w:rPr>
          <w:rFonts w:ascii="Arial" w:hAnsi="Arial" w:cs="Arial"/>
        </w:rPr>
        <w:t xml:space="preserve"> </w:t>
      </w:r>
      <w:r w:rsidRPr="00833BB9">
        <w:rPr>
          <w:rFonts w:ascii="Arial" w:hAnsi="Arial" w:cs="Arial"/>
        </w:rPr>
        <w:t xml:space="preserve">calculation of the </w:t>
      </w:r>
      <w:r>
        <w:rPr>
          <w:rFonts w:ascii="Arial" w:hAnsi="Arial" w:cs="Arial"/>
        </w:rPr>
        <w:t>p</w:t>
      </w:r>
      <w:r w:rsidRPr="00833BB9">
        <w:rPr>
          <w:rFonts w:ascii="Arial" w:hAnsi="Arial" w:cs="Arial"/>
        </w:rPr>
        <w:t>-y.</w:t>
      </w:r>
    </w:p>
    <w:p w14:paraId="7799CA32" w14:textId="77777777" w:rsidR="007E4D03" w:rsidRPr="00833BB9" w:rsidRDefault="007E4D03" w:rsidP="007E4D03">
      <w:pPr>
        <w:spacing w:after="0" w:line="480" w:lineRule="auto"/>
        <w:rPr>
          <w:rFonts w:ascii="Arial" w:hAnsi="Arial" w:cs="Arial"/>
        </w:rPr>
      </w:pPr>
    </w:p>
    <w:p w14:paraId="61EEC7B7" w14:textId="77777777" w:rsidR="007E4D03" w:rsidRPr="0067334E" w:rsidRDefault="007E4D03" w:rsidP="007E4D03">
      <w:pPr>
        <w:spacing w:after="0" w:line="480" w:lineRule="auto"/>
        <w:rPr>
          <w:rFonts w:ascii="Arial" w:hAnsi="Arial" w:cs="Arial"/>
          <w:b/>
          <w:bCs/>
        </w:rPr>
      </w:pPr>
      <w:r w:rsidRPr="0067334E">
        <w:rPr>
          <w:rFonts w:ascii="Arial" w:hAnsi="Arial" w:cs="Arial"/>
          <w:b/>
          <w:bCs/>
        </w:rPr>
        <w:t>BIOBADASER</w:t>
      </w:r>
    </w:p>
    <w:p w14:paraId="20709285" w14:textId="77777777" w:rsidR="007E4D03" w:rsidRDefault="007E4D03" w:rsidP="007E4D03">
      <w:pPr>
        <w:spacing w:after="0" w:line="480" w:lineRule="auto"/>
        <w:rPr>
          <w:rFonts w:ascii="Arial" w:hAnsi="Arial" w:cs="Arial"/>
        </w:rPr>
      </w:pPr>
      <w:r w:rsidRPr="002C401B">
        <w:rPr>
          <w:rFonts w:ascii="Arial" w:hAnsi="Arial" w:cs="Arial"/>
        </w:rPr>
        <w:t>In the BIOBADASER registry, malignancies were identified according to MedDRA term</w:t>
      </w:r>
      <w:r>
        <w:rPr>
          <w:rFonts w:ascii="Arial" w:hAnsi="Arial" w:cs="Arial"/>
        </w:rPr>
        <w:t xml:space="preserve">s. </w:t>
      </w:r>
      <w:r w:rsidRPr="00833BB9">
        <w:rPr>
          <w:rFonts w:ascii="Arial" w:hAnsi="Arial" w:cs="Arial"/>
        </w:rPr>
        <w:t xml:space="preserve">For malignancies, abatacept </w:t>
      </w:r>
      <w:r>
        <w:rPr>
          <w:rFonts w:ascii="Arial" w:hAnsi="Arial" w:cs="Arial"/>
        </w:rPr>
        <w:t>patient</w:t>
      </w:r>
      <w:r w:rsidRPr="00833BB9">
        <w:rPr>
          <w:rFonts w:ascii="Arial" w:hAnsi="Arial" w:cs="Arial"/>
        </w:rPr>
        <w:t xml:space="preserve">-time at risk </w:t>
      </w:r>
      <w:r>
        <w:rPr>
          <w:rFonts w:ascii="Arial" w:hAnsi="Arial" w:cs="Arial"/>
        </w:rPr>
        <w:t>was</w:t>
      </w:r>
      <w:r w:rsidRPr="00833BB9">
        <w:rPr>
          <w:rFonts w:ascii="Arial" w:hAnsi="Arial" w:cs="Arial"/>
        </w:rPr>
        <w:t xml:space="preserve"> </w:t>
      </w:r>
      <w:r w:rsidRPr="001210FD">
        <w:rPr>
          <w:rFonts w:ascii="Arial" w:hAnsi="Arial" w:cs="Arial"/>
        </w:rPr>
        <w:t xml:space="preserve">the period </w:t>
      </w:r>
      <w:r w:rsidRPr="00833BB9">
        <w:rPr>
          <w:rFonts w:ascii="Arial" w:hAnsi="Arial" w:cs="Arial"/>
        </w:rPr>
        <w:t>from</w:t>
      </w:r>
      <w:r>
        <w:rPr>
          <w:rFonts w:ascii="Arial" w:hAnsi="Arial" w:cs="Arial"/>
        </w:rPr>
        <w:t xml:space="preserve"> the</w:t>
      </w:r>
      <w:r w:rsidRPr="00833BB9">
        <w:rPr>
          <w:rFonts w:ascii="Arial" w:hAnsi="Arial" w:cs="Arial"/>
        </w:rPr>
        <w:t xml:space="preserve"> start</w:t>
      </w:r>
      <w:r>
        <w:rPr>
          <w:rFonts w:ascii="Arial" w:hAnsi="Arial" w:cs="Arial"/>
        </w:rPr>
        <w:t xml:space="preserve"> </w:t>
      </w:r>
      <w:r w:rsidRPr="00833BB9">
        <w:rPr>
          <w:rFonts w:ascii="Arial" w:hAnsi="Arial" w:cs="Arial"/>
        </w:rPr>
        <w:t>of abatacept treatment (time zero</w:t>
      </w:r>
      <w:r>
        <w:rPr>
          <w:rFonts w:ascii="Arial" w:hAnsi="Arial" w:cs="Arial"/>
        </w:rPr>
        <w:t xml:space="preserve"> or </w:t>
      </w:r>
      <w:r w:rsidRPr="001210FD">
        <w:rPr>
          <w:rFonts w:ascii="Arial" w:hAnsi="Arial" w:cs="Arial"/>
        </w:rPr>
        <w:t>index date</w:t>
      </w:r>
      <w:r w:rsidRPr="00833BB9">
        <w:rPr>
          <w:rFonts w:ascii="Arial" w:hAnsi="Arial" w:cs="Arial"/>
        </w:rPr>
        <w:t xml:space="preserve">) to the event of interest, </w:t>
      </w:r>
      <w:r w:rsidRPr="001210FD">
        <w:rPr>
          <w:rFonts w:ascii="Arial" w:hAnsi="Arial" w:cs="Arial"/>
        </w:rPr>
        <w:t>to the date of the last administration plus twice the half-life of the drug, censor date (last visit in a patient lost to follow</w:t>
      </w:r>
      <w:r>
        <w:rPr>
          <w:rFonts w:ascii="Arial" w:hAnsi="Arial" w:cs="Arial"/>
        </w:rPr>
        <w:t>-up</w:t>
      </w:r>
      <w:r w:rsidRPr="001210FD">
        <w:rPr>
          <w:rFonts w:ascii="Arial" w:hAnsi="Arial" w:cs="Arial"/>
        </w:rPr>
        <w:t>), death, or the end of observation period, whichever occurred first.</w:t>
      </w:r>
    </w:p>
    <w:p w14:paraId="19B1C665" w14:textId="77777777" w:rsidR="007E4D03" w:rsidRDefault="007E4D03" w:rsidP="007E4D03">
      <w:pPr>
        <w:spacing w:after="0" w:line="480" w:lineRule="auto"/>
        <w:ind w:firstLine="720"/>
        <w:rPr>
          <w:rFonts w:ascii="Arial" w:hAnsi="Arial" w:cs="Arial"/>
        </w:rPr>
      </w:pPr>
      <w:r w:rsidRPr="00833BB9">
        <w:rPr>
          <w:rFonts w:ascii="Arial" w:hAnsi="Arial" w:cs="Arial"/>
        </w:rPr>
        <w:t>For infections,</w:t>
      </w:r>
      <w:r>
        <w:rPr>
          <w:rFonts w:ascii="Arial" w:hAnsi="Arial" w:cs="Arial"/>
        </w:rPr>
        <w:t xml:space="preserve"> </w:t>
      </w:r>
      <w:r w:rsidRPr="00833BB9">
        <w:rPr>
          <w:rFonts w:ascii="Arial" w:hAnsi="Arial" w:cs="Arial"/>
        </w:rPr>
        <w:t xml:space="preserve">abatacept </w:t>
      </w:r>
      <w:r>
        <w:rPr>
          <w:rFonts w:ascii="Arial" w:hAnsi="Arial" w:cs="Arial"/>
        </w:rPr>
        <w:t>patient</w:t>
      </w:r>
      <w:r w:rsidRPr="00833BB9">
        <w:rPr>
          <w:rFonts w:ascii="Arial" w:hAnsi="Arial" w:cs="Arial"/>
        </w:rPr>
        <w:t>-time at risk is computed by the registry from</w:t>
      </w:r>
      <w:r>
        <w:rPr>
          <w:rFonts w:ascii="Arial" w:hAnsi="Arial" w:cs="Arial"/>
        </w:rPr>
        <w:t xml:space="preserve"> the</w:t>
      </w:r>
      <w:r w:rsidRPr="00833BB9">
        <w:rPr>
          <w:rFonts w:ascii="Arial" w:hAnsi="Arial" w:cs="Arial"/>
        </w:rPr>
        <w:t xml:space="preserve"> start of abatacept treatment (time zero</w:t>
      </w:r>
      <w:r>
        <w:rPr>
          <w:rFonts w:ascii="Arial" w:hAnsi="Arial" w:cs="Arial"/>
        </w:rPr>
        <w:t xml:space="preserve"> or </w:t>
      </w:r>
      <w:r w:rsidRPr="001210FD">
        <w:rPr>
          <w:rFonts w:ascii="Arial" w:hAnsi="Arial" w:cs="Arial"/>
        </w:rPr>
        <w:t>index date</w:t>
      </w:r>
      <w:r w:rsidRPr="00833BB9">
        <w:rPr>
          <w:rFonts w:ascii="Arial" w:hAnsi="Arial" w:cs="Arial"/>
        </w:rPr>
        <w:t>) to the event of interest, end of abatacept treatment, withdrawal from registry, death, or end</w:t>
      </w:r>
      <w:r>
        <w:rPr>
          <w:rFonts w:ascii="Arial" w:hAnsi="Arial" w:cs="Arial"/>
        </w:rPr>
        <w:t xml:space="preserve"> </w:t>
      </w:r>
      <w:r w:rsidRPr="00833BB9">
        <w:rPr>
          <w:rFonts w:ascii="Arial" w:hAnsi="Arial" w:cs="Arial"/>
        </w:rPr>
        <w:t>of study.</w:t>
      </w:r>
      <w:r>
        <w:rPr>
          <w:rFonts w:ascii="Arial" w:hAnsi="Arial" w:cs="Arial"/>
        </w:rPr>
        <w:t xml:space="preserve"> </w:t>
      </w:r>
      <w:r w:rsidRPr="00833BB9">
        <w:rPr>
          <w:rFonts w:ascii="Arial" w:hAnsi="Arial" w:cs="Arial"/>
        </w:rPr>
        <w:t>An additional sensitivity analysis of end of treatment + 90 days was performed. In this case, this</w:t>
      </w:r>
      <w:r>
        <w:rPr>
          <w:rFonts w:ascii="Arial" w:hAnsi="Arial" w:cs="Arial"/>
        </w:rPr>
        <w:t xml:space="preserve"> </w:t>
      </w:r>
      <w:r w:rsidRPr="00833BB9">
        <w:rPr>
          <w:rFonts w:ascii="Arial" w:hAnsi="Arial" w:cs="Arial"/>
        </w:rPr>
        <w:t xml:space="preserve">window has considered for all groups except for malignancies that </w:t>
      </w:r>
      <w:r>
        <w:rPr>
          <w:rFonts w:ascii="Arial" w:hAnsi="Arial" w:cs="Arial"/>
        </w:rPr>
        <w:t>were</w:t>
      </w:r>
      <w:r w:rsidRPr="00833BB9">
        <w:rPr>
          <w:rFonts w:ascii="Arial" w:hAnsi="Arial" w:cs="Arial"/>
        </w:rPr>
        <w:t xml:space="preserve"> considered “always</w:t>
      </w:r>
      <w:r>
        <w:rPr>
          <w:rFonts w:ascii="Arial" w:hAnsi="Arial" w:cs="Arial"/>
        </w:rPr>
        <w:t xml:space="preserve"> </w:t>
      </w:r>
      <w:r w:rsidRPr="00833BB9">
        <w:rPr>
          <w:rFonts w:ascii="Arial" w:hAnsi="Arial" w:cs="Arial"/>
        </w:rPr>
        <w:t>at risk”</w:t>
      </w:r>
      <w:r>
        <w:rPr>
          <w:rFonts w:ascii="Arial" w:hAnsi="Arial" w:cs="Arial"/>
        </w:rPr>
        <w:t>.</w:t>
      </w:r>
    </w:p>
    <w:p w14:paraId="5414CE82" w14:textId="77777777" w:rsidR="007E4D03" w:rsidRPr="00833BB9" w:rsidRDefault="007E4D03" w:rsidP="007E4D03">
      <w:pPr>
        <w:spacing w:after="0" w:line="480" w:lineRule="auto"/>
        <w:rPr>
          <w:rFonts w:ascii="Arial" w:hAnsi="Arial" w:cs="Arial"/>
        </w:rPr>
      </w:pPr>
    </w:p>
    <w:p w14:paraId="3D432572" w14:textId="77777777" w:rsidR="007E4D03" w:rsidRPr="00CA3512" w:rsidRDefault="007E4D03" w:rsidP="007E4D03">
      <w:pPr>
        <w:rPr>
          <w:rFonts w:ascii="Arial" w:hAnsi="Arial" w:cs="Arial"/>
        </w:rPr>
      </w:pPr>
      <w:r w:rsidRPr="00291E76">
        <w:rPr>
          <w:rFonts w:ascii="Arial" w:hAnsi="Arial" w:cs="Arial"/>
          <w:b/>
          <w:bCs/>
        </w:rPr>
        <w:t>SCQM</w:t>
      </w:r>
      <w:r w:rsidRPr="00CA3512">
        <w:rPr>
          <w:rFonts w:ascii="Arial" w:hAnsi="Arial" w:cs="Arial"/>
        </w:rPr>
        <w:t xml:space="preserve"> (</w:t>
      </w:r>
      <w:r w:rsidRPr="0071594D">
        <w:rPr>
          <w:rFonts w:ascii="Arial" w:hAnsi="Arial" w:cs="Arial"/>
        </w:rPr>
        <w:t>Swiss Clinical Quality Management</w:t>
      </w:r>
      <w:r w:rsidRPr="00CA3512">
        <w:rPr>
          <w:rFonts w:ascii="Arial" w:hAnsi="Arial" w:cs="Arial"/>
        </w:rPr>
        <w:t>)</w:t>
      </w:r>
    </w:p>
    <w:p w14:paraId="5400668C" w14:textId="77777777" w:rsidR="007E4D03" w:rsidRDefault="007E4D03" w:rsidP="007E4D03">
      <w:pPr>
        <w:spacing w:after="0" w:line="480" w:lineRule="auto"/>
        <w:rPr>
          <w:rFonts w:ascii="Arial" w:hAnsi="Arial" w:cs="Arial"/>
        </w:rPr>
      </w:pPr>
      <w:r w:rsidRPr="00833BB9">
        <w:rPr>
          <w:rFonts w:ascii="Arial" w:hAnsi="Arial" w:cs="Arial"/>
        </w:rPr>
        <w:t>Data collection periods differed for malignancies</w:t>
      </w:r>
      <w:r>
        <w:rPr>
          <w:rFonts w:ascii="Arial" w:hAnsi="Arial" w:cs="Arial"/>
        </w:rPr>
        <w:t xml:space="preserve">, </w:t>
      </w:r>
      <w:r w:rsidRPr="00833BB9">
        <w:rPr>
          <w:rFonts w:ascii="Arial" w:hAnsi="Arial" w:cs="Arial"/>
        </w:rPr>
        <w:t>tuberculosis</w:t>
      </w:r>
      <w:r>
        <w:rPr>
          <w:rFonts w:ascii="Arial" w:hAnsi="Arial" w:cs="Arial"/>
        </w:rPr>
        <w:t>,</w:t>
      </w:r>
      <w:r w:rsidRPr="00833BB9">
        <w:rPr>
          <w:rFonts w:ascii="Arial" w:hAnsi="Arial" w:cs="Arial"/>
        </w:rPr>
        <w:t xml:space="preserve"> and hospitali</w:t>
      </w:r>
      <w:r>
        <w:rPr>
          <w:rFonts w:ascii="Arial" w:hAnsi="Arial" w:cs="Arial"/>
        </w:rPr>
        <w:t>z</w:t>
      </w:r>
      <w:r w:rsidRPr="00833BB9">
        <w:rPr>
          <w:rFonts w:ascii="Arial" w:hAnsi="Arial" w:cs="Arial"/>
        </w:rPr>
        <w:t>ed infections</w:t>
      </w:r>
      <w:r>
        <w:rPr>
          <w:rFonts w:ascii="Arial" w:hAnsi="Arial" w:cs="Arial"/>
        </w:rPr>
        <w:t xml:space="preserve"> due to a lack of </w:t>
      </w:r>
      <w:r w:rsidRPr="00833BB9">
        <w:rPr>
          <w:rFonts w:ascii="Arial" w:hAnsi="Arial" w:cs="Arial"/>
        </w:rPr>
        <w:t>availability of certain data</w:t>
      </w:r>
      <w:r>
        <w:rPr>
          <w:rFonts w:ascii="Arial" w:hAnsi="Arial" w:cs="Arial"/>
        </w:rPr>
        <w:t xml:space="preserve">, </w:t>
      </w:r>
      <w:r w:rsidRPr="00833BB9">
        <w:rPr>
          <w:rFonts w:ascii="Arial" w:hAnsi="Arial" w:cs="Arial"/>
        </w:rPr>
        <w:t>particularly whether an infection had led to hospitali</w:t>
      </w:r>
      <w:r>
        <w:rPr>
          <w:rFonts w:ascii="Arial" w:hAnsi="Arial" w:cs="Arial"/>
        </w:rPr>
        <w:t>z</w:t>
      </w:r>
      <w:r w:rsidRPr="00833BB9">
        <w:rPr>
          <w:rFonts w:ascii="Arial" w:hAnsi="Arial" w:cs="Arial"/>
        </w:rPr>
        <w:t>ation.</w:t>
      </w:r>
    </w:p>
    <w:p w14:paraId="2E6AE46C" w14:textId="77777777" w:rsidR="007E4D03" w:rsidRDefault="007E4D03" w:rsidP="007E4D03">
      <w:pPr>
        <w:spacing w:after="0" w:line="480" w:lineRule="auto"/>
        <w:ind w:firstLine="720"/>
        <w:rPr>
          <w:rFonts w:ascii="Arial" w:hAnsi="Arial" w:cs="Arial"/>
        </w:rPr>
      </w:pPr>
      <w:r w:rsidRPr="00833BB9">
        <w:rPr>
          <w:rFonts w:ascii="Arial" w:hAnsi="Arial" w:cs="Arial"/>
        </w:rPr>
        <w:t>With respect to infections, possible risk was attributable to the treatment immediately</w:t>
      </w:r>
      <w:r>
        <w:rPr>
          <w:rFonts w:ascii="Arial" w:hAnsi="Arial" w:cs="Arial"/>
        </w:rPr>
        <w:t xml:space="preserve"> after initiation</w:t>
      </w:r>
      <w:r w:rsidRPr="00833BB9">
        <w:rPr>
          <w:rFonts w:ascii="Arial" w:hAnsi="Arial" w:cs="Arial"/>
        </w:rPr>
        <w:t>. For malignancies, the</w:t>
      </w:r>
      <w:r>
        <w:rPr>
          <w:rFonts w:ascii="Arial" w:hAnsi="Arial" w:cs="Arial"/>
        </w:rPr>
        <w:t xml:space="preserve"> </w:t>
      </w:r>
      <w:r w:rsidRPr="00833BB9">
        <w:rPr>
          <w:rFonts w:ascii="Arial" w:hAnsi="Arial" w:cs="Arial"/>
        </w:rPr>
        <w:t xml:space="preserve">conveyed risks were considered everlasting </w:t>
      </w:r>
      <w:r>
        <w:rPr>
          <w:rFonts w:ascii="Arial" w:hAnsi="Arial" w:cs="Arial"/>
        </w:rPr>
        <w:t>to take into account</w:t>
      </w:r>
      <w:r w:rsidRPr="00833BB9">
        <w:rPr>
          <w:rFonts w:ascii="Arial" w:hAnsi="Arial" w:cs="Arial"/>
        </w:rPr>
        <w:t xml:space="preserve"> a potentially delayed onset.</w:t>
      </w:r>
    </w:p>
    <w:p w14:paraId="55C9DBB9" w14:textId="6FEF5B26" w:rsidR="007E4D03" w:rsidRDefault="007E4D03" w:rsidP="007E4D03">
      <w:pPr>
        <w:spacing w:after="0" w:line="480" w:lineRule="auto"/>
        <w:ind w:firstLine="720"/>
        <w:rPr>
          <w:rFonts w:ascii="Arial" w:hAnsi="Arial" w:cs="Arial"/>
        </w:rPr>
      </w:pPr>
      <w:r w:rsidRPr="00833BB9">
        <w:rPr>
          <w:rFonts w:ascii="Arial" w:hAnsi="Arial" w:cs="Arial"/>
        </w:rPr>
        <w:t xml:space="preserve">A </w:t>
      </w:r>
      <w:r>
        <w:rPr>
          <w:rFonts w:ascii="Arial" w:hAnsi="Arial" w:cs="Arial"/>
        </w:rPr>
        <w:t>key</w:t>
      </w:r>
      <w:r w:rsidRPr="00833BB9">
        <w:rPr>
          <w:rFonts w:ascii="Arial" w:hAnsi="Arial" w:cs="Arial"/>
        </w:rPr>
        <w:t xml:space="preserve"> difference between the SCQM and </w:t>
      </w:r>
      <w:r>
        <w:rPr>
          <w:rFonts w:ascii="Arial" w:hAnsi="Arial" w:cs="Arial"/>
        </w:rPr>
        <w:t xml:space="preserve">other </w:t>
      </w:r>
      <w:r w:rsidRPr="00833BB9">
        <w:rPr>
          <w:rFonts w:ascii="Arial" w:hAnsi="Arial" w:cs="Arial"/>
        </w:rPr>
        <w:t>registries</w:t>
      </w:r>
      <w:r>
        <w:rPr>
          <w:rFonts w:ascii="Arial" w:hAnsi="Arial" w:cs="Arial"/>
        </w:rPr>
        <w:t xml:space="preserve"> in </w:t>
      </w:r>
      <w:r w:rsidRPr="00833BB9">
        <w:rPr>
          <w:rFonts w:ascii="Arial" w:hAnsi="Arial" w:cs="Arial"/>
        </w:rPr>
        <w:t>this study is that the SCQM</w:t>
      </w:r>
      <w:r>
        <w:rPr>
          <w:rFonts w:ascii="Arial" w:hAnsi="Arial" w:cs="Arial"/>
        </w:rPr>
        <w:t xml:space="preserve"> </w:t>
      </w:r>
      <w:r w:rsidRPr="00833BB9">
        <w:rPr>
          <w:rFonts w:ascii="Arial" w:hAnsi="Arial" w:cs="Arial"/>
        </w:rPr>
        <w:t xml:space="preserve">database lacks information on the exact date of occurrence for a proportion of the study’s endpoints. SCQM therefore imputed dates of occurrence </w:t>
      </w:r>
      <w:r>
        <w:rPr>
          <w:rFonts w:ascii="Arial" w:hAnsi="Arial" w:cs="Arial"/>
        </w:rPr>
        <w:t>using</w:t>
      </w:r>
      <w:r w:rsidRPr="00833BB9">
        <w:rPr>
          <w:rFonts w:ascii="Arial" w:hAnsi="Arial" w:cs="Arial"/>
        </w:rPr>
        <w:t xml:space="preserve"> the</w:t>
      </w:r>
      <w:r>
        <w:rPr>
          <w:rFonts w:ascii="Arial" w:hAnsi="Arial" w:cs="Arial"/>
        </w:rPr>
        <w:t xml:space="preserve"> </w:t>
      </w:r>
      <w:r w:rsidRPr="00833BB9">
        <w:rPr>
          <w:rFonts w:ascii="Arial" w:hAnsi="Arial" w:cs="Arial"/>
        </w:rPr>
        <w:t>limits of the time interval within which the event must have had occurred and reported the</w:t>
      </w:r>
      <w:r>
        <w:rPr>
          <w:rFonts w:ascii="Arial" w:hAnsi="Arial" w:cs="Arial"/>
        </w:rPr>
        <w:t xml:space="preserve"> </w:t>
      </w:r>
      <w:r w:rsidRPr="00833BB9">
        <w:rPr>
          <w:rFonts w:ascii="Arial" w:hAnsi="Arial" w:cs="Arial"/>
        </w:rPr>
        <w:t>analyses on these imputed dates. Three types of imputation were utili</w:t>
      </w:r>
      <w:r w:rsidR="00A65C2D">
        <w:rPr>
          <w:rFonts w:ascii="Arial" w:hAnsi="Arial" w:cs="Arial"/>
        </w:rPr>
        <w:t>z</w:t>
      </w:r>
      <w:r w:rsidRPr="00833BB9">
        <w:rPr>
          <w:rFonts w:ascii="Arial" w:hAnsi="Arial" w:cs="Arial"/>
        </w:rPr>
        <w:t>ed (left, mid</w:t>
      </w:r>
      <w:r>
        <w:rPr>
          <w:rFonts w:ascii="Arial" w:hAnsi="Arial" w:cs="Arial"/>
        </w:rPr>
        <w:t>,</w:t>
      </w:r>
      <w:r w:rsidRPr="00833BB9">
        <w:rPr>
          <w:rFonts w:ascii="Arial" w:hAnsi="Arial" w:cs="Arial"/>
        </w:rPr>
        <w:t xml:space="preserve"> and right).</w:t>
      </w:r>
      <w:r>
        <w:rPr>
          <w:rFonts w:ascii="Arial" w:hAnsi="Arial" w:cs="Arial"/>
        </w:rPr>
        <w:t xml:space="preserve"> </w:t>
      </w:r>
      <w:r w:rsidRPr="00833BB9">
        <w:rPr>
          <w:rFonts w:ascii="Arial" w:hAnsi="Arial" w:cs="Arial"/>
        </w:rPr>
        <w:t xml:space="preserve">Left and right </w:t>
      </w:r>
      <w:r>
        <w:rPr>
          <w:rFonts w:ascii="Arial" w:hAnsi="Arial" w:cs="Arial"/>
        </w:rPr>
        <w:t>identified</w:t>
      </w:r>
      <w:r w:rsidRPr="00833BB9">
        <w:rPr>
          <w:rFonts w:ascii="Arial" w:hAnsi="Arial" w:cs="Arial"/>
        </w:rPr>
        <w:t xml:space="preserve"> both a date after which (left) and before which (right) the</w:t>
      </w:r>
      <w:r>
        <w:rPr>
          <w:rFonts w:ascii="Arial" w:hAnsi="Arial" w:cs="Arial"/>
        </w:rPr>
        <w:t xml:space="preserve"> </w:t>
      </w:r>
      <w:r w:rsidRPr="00833BB9">
        <w:rPr>
          <w:rFonts w:ascii="Arial" w:hAnsi="Arial" w:cs="Arial"/>
        </w:rPr>
        <w:t>event took place. The midpoint between left and right imputed dates was the “mid” imputed date.</w:t>
      </w:r>
      <w:r>
        <w:rPr>
          <w:rFonts w:ascii="Arial" w:hAnsi="Arial" w:cs="Arial"/>
        </w:rPr>
        <w:t xml:space="preserve"> </w:t>
      </w:r>
      <w:r w:rsidRPr="00833BB9">
        <w:rPr>
          <w:rFonts w:ascii="Arial" w:hAnsi="Arial" w:cs="Arial"/>
        </w:rPr>
        <w:t>For the purposes of this final study summary, the MAH summarized SCQM data by selecting the</w:t>
      </w:r>
      <w:r>
        <w:rPr>
          <w:rFonts w:ascii="Arial" w:hAnsi="Arial" w:cs="Arial"/>
        </w:rPr>
        <w:t xml:space="preserve"> </w:t>
      </w:r>
      <w:r w:rsidRPr="00833BB9">
        <w:rPr>
          <w:rFonts w:ascii="Arial" w:hAnsi="Arial" w:cs="Arial"/>
        </w:rPr>
        <w:t>mid imputed dates.</w:t>
      </w:r>
    </w:p>
    <w:p w14:paraId="7E5CC5AA" w14:textId="77777777" w:rsidR="00A65C2D" w:rsidRDefault="007E4D03" w:rsidP="00A65C2D">
      <w:pPr>
        <w:spacing w:after="0" w:line="480" w:lineRule="auto"/>
        <w:ind w:firstLine="720"/>
        <w:rPr>
          <w:rFonts w:ascii="Arial" w:hAnsi="Arial" w:cs="Arial"/>
        </w:rPr>
      </w:pPr>
      <w:r w:rsidRPr="00833BB9">
        <w:rPr>
          <w:rFonts w:ascii="Arial" w:hAnsi="Arial" w:cs="Arial"/>
        </w:rPr>
        <w:t>The follow-up period was terminated as soon as a patient</w:t>
      </w:r>
      <w:r w:rsidR="008759EE">
        <w:rPr>
          <w:rFonts w:ascii="Arial" w:hAnsi="Arial" w:cs="Arial"/>
        </w:rPr>
        <w:t xml:space="preserve"> </w:t>
      </w:r>
      <w:r w:rsidRPr="00833BB9">
        <w:rPr>
          <w:rFonts w:ascii="Arial" w:hAnsi="Arial" w:cs="Arial"/>
        </w:rPr>
        <w:t>initiated treatment</w:t>
      </w:r>
      <w:r>
        <w:rPr>
          <w:rFonts w:ascii="Arial" w:hAnsi="Arial" w:cs="Arial"/>
        </w:rPr>
        <w:t xml:space="preserve"> </w:t>
      </w:r>
      <w:r w:rsidRPr="00833BB9">
        <w:rPr>
          <w:rFonts w:ascii="Arial" w:hAnsi="Arial" w:cs="Arial"/>
        </w:rPr>
        <w:t xml:space="preserve">with DMARDs other than those under consideration. Patients for whom the follow-up period was undefined </w:t>
      </w:r>
      <w:r>
        <w:rPr>
          <w:rFonts w:ascii="Arial" w:hAnsi="Arial" w:cs="Arial"/>
        </w:rPr>
        <w:t>were excluded</w:t>
      </w:r>
      <w:r w:rsidRPr="00833BB9">
        <w:rPr>
          <w:rFonts w:ascii="Arial" w:hAnsi="Arial" w:cs="Arial"/>
        </w:rPr>
        <w:t>.</w:t>
      </w:r>
    </w:p>
    <w:p w14:paraId="48C3B5C2" w14:textId="57840265" w:rsidR="007E4D03" w:rsidRPr="00833BB9" w:rsidRDefault="007E4D03" w:rsidP="00A65C2D">
      <w:pPr>
        <w:spacing w:after="0" w:line="480" w:lineRule="auto"/>
        <w:ind w:firstLine="720"/>
        <w:rPr>
          <w:rFonts w:ascii="Arial" w:hAnsi="Arial" w:cs="Arial"/>
        </w:rPr>
      </w:pPr>
      <w:r w:rsidRPr="00833BB9">
        <w:rPr>
          <w:rFonts w:ascii="Arial" w:hAnsi="Arial" w:cs="Arial"/>
        </w:rPr>
        <w:t>Definition</w:t>
      </w:r>
      <w:r>
        <w:rPr>
          <w:rFonts w:ascii="Arial" w:hAnsi="Arial" w:cs="Arial"/>
        </w:rPr>
        <w:t>s</w:t>
      </w:r>
      <w:r w:rsidRPr="00833BB9">
        <w:rPr>
          <w:rFonts w:ascii="Arial" w:hAnsi="Arial" w:cs="Arial"/>
        </w:rPr>
        <w:t xml:space="preserve"> of follow-up for hospitali</w:t>
      </w:r>
      <w:r>
        <w:rPr>
          <w:rFonts w:ascii="Arial" w:hAnsi="Arial" w:cs="Arial"/>
        </w:rPr>
        <w:t>z</w:t>
      </w:r>
      <w:r w:rsidRPr="00833BB9">
        <w:rPr>
          <w:rFonts w:ascii="Arial" w:hAnsi="Arial" w:cs="Arial"/>
        </w:rPr>
        <w:t xml:space="preserve">ed infections and tuberculosis </w:t>
      </w:r>
      <w:r>
        <w:rPr>
          <w:rFonts w:ascii="Arial" w:hAnsi="Arial" w:cs="Arial"/>
        </w:rPr>
        <w:t>we</w:t>
      </w:r>
      <w:r w:rsidRPr="00833BB9">
        <w:rPr>
          <w:rFonts w:ascii="Arial" w:hAnsi="Arial" w:cs="Arial"/>
        </w:rPr>
        <w:t>re as follows:</w:t>
      </w:r>
    </w:p>
    <w:p w14:paraId="1720C153" w14:textId="1661EED1" w:rsidR="007E4D03" w:rsidRDefault="007E4D03" w:rsidP="007E4D03">
      <w:pPr>
        <w:pStyle w:val="ListParagraph"/>
        <w:numPr>
          <w:ilvl w:val="0"/>
          <w:numId w:val="1"/>
        </w:numPr>
        <w:spacing w:after="0" w:line="480" w:lineRule="auto"/>
        <w:ind w:left="426"/>
        <w:rPr>
          <w:rFonts w:ascii="Arial" w:hAnsi="Arial" w:cs="Arial"/>
        </w:rPr>
      </w:pPr>
      <w:r>
        <w:rPr>
          <w:rFonts w:ascii="Arial" w:hAnsi="Arial" w:cs="Arial"/>
        </w:rPr>
        <w:t>The s</w:t>
      </w:r>
      <w:r w:rsidRPr="007F5EE2">
        <w:rPr>
          <w:rFonts w:ascii="Arial" w:hAnsi="Arial" w:cs="Arial"/>
        </w:rPr>
        <w:t>tart of follow-up period</w:t>
      </w:r>
      <w:r>
        <w:rPr>
          <w:rFonts w:ascii="Arial" w:hAnsi="Arial" w:cs="Arial"/>
        </w:rPr>
        <w:t xml:space="preserve"> was</w:t>
      </w:r>
      <w:r w:rsidRPr="00291E76">
        <w:rPr>
          <w:rFonts w:ascii="Arial" w:hAnsi="Arial" w:cs="Arial"/>
        </w:rPr>
        <w:t xml:space="preserve"> defined </w:t>
      </w:r>
      <w:r>
        <w:rPr>
          <w:rFonts w:ascii="Arial" w:hAnsi="Arial" w:cs="Arial"/>
        </w:rPr>
        <w:t xml:space="preserve">as either a) </w:t>
      </w:r>
      <w:r w:rsidRPr="00291E76">
        <w:rPr>
          <w:rFonts w:ascii="Arial" w:hAnsi="Arial" w:cs="Arial"/>
        </w:rPr>
        <w:t>the latest of</w:t>
      </w:r>
      <w:r>
        <w:rPr>
          <w:rFonts w:ascii="Arial" w:hAnsi="Arial" w:cs="Arial"/>
        </w:rPr>
        <w:t xml:space="preserve"> the</w:t>
      </w:r>
      <w:r w:rsidRPr="00291E76">
        <w:rPr>
          <w:rFonts w:ascii="Arial" w:hAnsi="Arial" w:cs="Arial"/>
        </w:rPr>
        <w:t xml:space="preserve"> start of study, first visit recorded in the registry, or last stop of b</w:t>
      </w:r>
      <w:r>
        <w:rPr>
          <w:rFonts w:ascii="Arial" w:hAnsi="Arial" w:cs="Arial"/>
        </w:rPr>
        <w:t>DMARD</w:t>
      </w:r>
      <w:r w:rsidRPr="00291E76">
        <w:rPr>
          <w:rFonts w:ascii="Arial" w:hAnsi="Arial" w:cs="Arial"/>
        </w:rPr>
        <w:t xml:space="preserve"> treatments when the start date was missing</w:t>
      </w:r>
      <w:r>
        <w:rPr>
          <w:rFonts w:ascii="Arial" w:hAnsi="Arial" w:cs="Arial"/>
        </w:rPr>
        <w:t>,</w:t>
      </w:r>
      <w:r w:rsidRPr="00291E76">
        <w:rPr>
          <w:rFonts w:ascii="Arial" w:hAnsi="Arial" w:cs="Arial"/>
        </w:rPr>
        <w:t xml:space="preserve"> or </w:t>
      </w:r>
      <w:r>
        <w:rPr>
          <w:rFonts w:ascii="Arial" w:hAnsi="Arial" w:cs="Arial"/>
        </w:rPr>
        <w:t xml:space="preserve">b) </w:t>
      </w:r>
      <w:r w:rsidRPr="00291E76">
        <w:rPr>
          <w:rFonts w:ascii="Arial" w:hAnsi="Arial" w:cs="Arial"/>
        </w:rPr>
        <w:t>left undefined in case</w:t>
      </w:r>
      <w:r>
        <w:rPr>
          <w:rFonts w:ascii="Arial" w:hAnsi="Arial" w:cs="Arial"/>
        </w:rPr>
        <w:t>s</w:t>
      </w:r>
      <w:r w:rsidRPr="00291E76">
        <w:rPr>
          <w:rFonts w:ascii="Arial" w:hAnsi="Arial" w:cs="Arial"/>
        </w:rPr>
        <w:t xml:space="preserve"> </w:t>
      </w:r>
      <w:r>
        <w:rPr>
          <w:rFonts w:ascii="Arial" w:hAnsi="Arial" w:cs="Arial"/>
        </w:rPr>
        <w:t xml:space="preserve">where </w:t>
      </w:r>
      <w:r w:rsidRPr="00291E76">
        <w:rPr>
          <w:rFonts w:ascii="Arial" w:hAnsi="Arial" w:cs="Arial"/>
        </w:rPr>
        <w:t>there were b</w:t>
      </w:r>
      <w:r>
        <w:rPr>
          <w:rFonts w:ascii="Arial" w:hAnsi="Arial" w:cs="Arial"/>
        </w:rPr>
        <w:t>DMARD</w:t>
      </w:r>
      <w:r w:rsidRPr="00291E76">
        <w:rPr>
          <w:rFonts w:ascii="Arial" w:hAnsi="Arial" w:cs="Arial"/>
        </w:rPr>
        <w:t xml:space="preserve"> treatments for which information on both the start and the stop date</w:t>
      </w:r>
      <w:r w:rsidR="00A65C2D">
        <w:rPr>
          <w:rFonts w:ascii="Arial" w:hAnsi="Arial" w:cs="Arial"/>
        </w:rPr>
        <w:t>s</w:t>
      </w:r>
      <w:r w:rsidRPr="00291E76">
        <w:rPr>
          <w:rFonts w:ascii="Arial" w:hAnsi="Arial" w:cs="Arial"/>
        </w:rPr>
        <w:t xml:space="preserve"> w</w:t>
      </w:r>
      <w:r w:rsidR="00A65C2D">
        <w:rPr>
          <w:rFonts w:ascii="Arial" w:hAnsi="Arial" w:cs="Arial"/>
        </w:rPr>
        <w:t>as</w:t>
      </w:r>
      <w:r w:rsidRPr="00291E76">
        <w:rPr>
          <w:rFonts w:ascii="Arial" w:hAnsi="Arial" w:cs="Arial"/>
        </w:rPr>
        <w:t xml:space="preserve"> missing.</w:t>
      </w:r>
    </w:p>
    <w:p w14:paraId="5EA54B91" w14:textId="4832CDC7" w:rsidR="007E4D03" w:rsidRDefault="007E4D03" w:rsidP="007E4D03">
      <w:pPr>
        <w:pStyle w:val="ListParagraph"/>
        <w:numPr>
          <w:ilvl w:val="0"/>
          <w:numId w:val="1"/>
        </w:numPr>
        <w:spacing w:after="0" w:line="480" w:lineRule="auto"/>
        <w:ind w:left="426"/>
        <w:rPr>
          <w:rFonts w:ascii="Arial" w:hAnsi="Arial" w:cs="Arial"/>
        </w:rPr>
      </w:pPr>
      <w:r w:rsidRPr="00160AD6">
        <w:rPr>
          <w:rFonts w:ascii="Arial" w:hAnsi="Arial" w:cs="Arial"/>
        </w:rPr>
        <w:t>In c</w:t>
      </w:r>
      <w:r w:rsidRPr="00EC35D8">
        <w:rPr>
          <w:rFonts w:ascii="Arial" w:hAnsi="Arial" w:cs="Arial"/>
        </w:rPr>
        <w:t>ases where</w:t>
      </w:r>
      <w:r w:rsidRPr="00452642">
        <w:rPr>
          <w:rFonts w:ascii="Arial" w:hAnsi="Arial" w:cs="Arial"/>
        </w:rPr>
        <w:t xml:space="preserve"> abatacept</w:t>
      </w:r>
      <w:r w:rsidRPr="003D29AD">
        <w:rPr>
          <w:rFonts w:ascii="Arial" w:hAnsi="Arial" w:cs="Arial"/>
        </w:rPr>
        <w:t xml:space="preserve"> had </w:t>
      </w:r>
      <w:r w:rsidRPr="00712950">
        <w:rPr>
          <w:rFonts w:ascii="Arial" w:hAnsi="Arial" w:cs="Arial"/>
        </w:rPr>
        <w:t>be</w:t>
      </w:r>
      <w:r w:rsidRPr="00160AD6">
        <w:rPr>
          <w:rFonts w:ascii="Arial" w:hAnsi="Arial" w:cs="Arial"/>
        </w:rPr>
        <w:t>en started prior to and was ongoing at a patient’s first recorded visit, exposure was considered to be from the time of this first follow-up visit provided the patient had not experienced a hospitalized infection on</w:t>
      </w:r>
      <w:r>
        <w:rPr>
          <w:rFonts w:ascii="Arial" w:hAnsi="Arial" w:cs="Arial"/>
        </w:rPr>
        <w:t xml:space="preserve"> a</w:t>
      </w:r>
      <w:r w:rsidRPr="00160AD6">
        <w:rPr>
          <w:rFonts w:ascii="Arial" w:hAnsi="Arial" w:cs="Arial"/>
        </w:rPr>
        <w:t xml:space="preserve"> </w:t>
      </w:r>
      <w:r>
        <w:rPr>
          <w:rFonts w:ascii="Arial" w:hAnsi="Arial" w:cs="Arial"/>
        </w:rPr>
        <w:t>bDMARD</w:t>
      </w:r>
      <w:r w:rsidRPr="00160AD6">
        <w:rPr>
          <w:rFonts w:ascii="Arial" w:hAnsi="Arial" w:cs="Arial"/>
        </w:rPr>
        <w:t xml:space="preserve"> treatment course before.</w:t>
      </w:r>
    </w:p>
    <w:p w14:paraId="0650DF48" w14:textId="77777777" w:rsidR="007E4D03" w:rsidRPr="00160AD6" w:rsidRDefault="007E4D03" w:rsidP="007E4D03">
      <w:pPr>
        <w:pStyle w:val="ListParagraph"/>
        <w:numPr>
          <w:ilvl w:val="0"/>
          <w:numId w:val="1"/>
        </w:numPr>
        <w:spacing w:after="0" w:line="480" w:lineRule="auto"/>
        <w:ind w:left="426"/>
        <w:rPr>
          <w:rFonts w:ascii="Arial" w:hAnsi="Arial" w:cs="Arial"/>
        </w:rPr>
      </w:pPr>
      <w:r w:rsidRPr="00160AD6">
        <w:rPr>
          <w:rFonts w:ascii="Arial" w:hAnsi="Arial" w:cs="Arial"/>
        </w:rPr>
        <w:t xml:space="preserve">A lag time of one standard dosing interval (e.g. 1 month for </w:t>
      </w:r>
      <w:r w:rsidRPr="00EC35D8">
        <w:rPr>
          <w:rFonts w:ascii="Arial" w:hAnsi="Arial" w:cs="Arial"/>
        </w:rPr>
        <w:t>intravenous</w:t>
      </w:r>
      <w:r w:rsidRPr="00452642">
        <w:rPr>
          <w:rFonts w:ascii="Arial" w:hAnsi="Arial" w:cs="Arial"/>
        </w:rPr>
        <w:t>ly</w:t>
      </w:r>
      <w:r w:rsidRPr="003D29AD">
        <w:rPr>
          <w:rFonts w:ascii="Arial" w:hAnsi="Arial" w:cs="Arial"/>
        </w:rPr>
        <w:t xml:space="preserve"> administered </w:t>
      </w:r>
      <w:r>
        <w:rPr>
          <w:rFonts w:ascii="Arial" w:hAnsi="Arial" w:cs="Arial"/>
        </w:rPr>
        <w:t>abatacept</w:t>
      </w:r>
      <w:r w:rsidRPr="003D29AD">
        <w:rPr>
          <w:rFonts w:ascii="Arial" w:hAnsi="Arial" w:cs="Arial"/>
        </w:rPr>
        <w:t>) was</w:t>
      </w:r>
      <w:r w:rsidRPr="00712950">
        <w:rPr>
          <w:rFonts w:ascii="Arial" w:hAnsi="Arial" w:cs="Arial"/>
        </w:rPr>
        <w:t xml:space="preserve"> c</w:t>
      </w:r>
      <w:r w:rsidRPr="00160AD6">
        <w:rPr>
          <w:rFonts w:ascii="Arial" w:hAnsi="Arial" w:cs="Arial"/>
        </w:rPr>
        <w:t>onsidered.</w:t>
      </w:r>
    </w:p>
    <w:p w14:paraId="28FA2558" w14:textId="77777777" w:rsidR="00A65C2D" w:rsidRDefault="007E4D03" w:rsidP="00A65C2D">
      <w:pPr>
        <w:pStyle w:val="ListParagraph"/>
        <w:numPr>
          <w:ilvl w:val="0"/>
          <w:numId w:val="1"/>
        </w:numPr>
        <w:spacing w:after="0" w:line="480" w:lineRule="auto"/>
        <w:ind w:left="426"/>
        <w:rPr>
          <w:rFonts w:ascii="Arial" w:hAnsi="Arial" w:cs="Arial"/>
        </w:rPr>
      </w:pPr>
      <w:r>
        <w:rPr>
          <w:rFonts w:ascii="Arial" w:hAnsi="Arial" w:cs="Arial"/>
        </w:rPr>
        <w:t>The e</w:t>
      </w:r>
      <w:r w:rsidRPr="000C2799">
        <w:rPr>
          <w:rFonts w:ascii="Arial" w:hAnsi="Arial" w:cs="Arial"/>
        </w:rPr>
        <w:t xml:space="preserve">nd of </w:t>
      </w:r>
      <w:r>
        <w:rPr>
          <w:rFonts w:ascii="Arial" w:hAnsi="Arial" w:cs="Arial"/>
        </w:rPr>
        <w:t xml:space="preserve">the </w:t>
      </w:r>
      <w:r w:rsidRPr="000C2799">
        <w:rPr>
          <w:rFonts w:ascii="Arial" w:hAnsi="Arial" w:cs="Arial"/>
        </w:rPr>
        <w:t>follow-up period</w:t>
      </w:r>
      <w:r w:rsidRPr="007F5EE2">
        <w:rPr>
          <w:rFonts w:ascii="Arial" w:hAnsi="Arial" w:cs="Arial"/>
        </w:rPr>
        <w:t xml:space="preserve"> </w:t>
      </w:r>
      <w:r>
        <w:rPr>
          <w:rFonts w:ascii="Arial" w:hAnsi="Arial" w:cs="Arial"/>
        </w:rPr>
        <w:t>was</w:t>
      </w:r>
      <w:r w:rsidRPr="00291E76">
        <w:rPr>
          <w:rFonts w:ascii="Arial" w:hAnsi="Arial" w:cs="Arial"/>
        </w:rPr>
        <w:t xml:space="preserve"> defined </w:t>
      </w:r>
      <w:r>
        <w:rPr>
          <w:rFonts w:ascii="Arial" w:hAnsi="Arial" w:cs="Arial"/>
        </w:rPr>
        <w:t>either as a) t</w:t>
      </w:r>
      <w:r w:rsidRPr="000C2799">
        <w:rPr>
          <w:rFonts w:ascii="Arial" w:hAnsi="Arial" w:cs="Arial"/>
        </w:rPr>
        <w:t xml:space="preserve">he last visit recorded in the registry, </w:t>
      </w:r>
      <w:r>
        <w:rPr>
          <w:rFonts w:ascii="Arial" w:hAnsi="Arial" w:cs="Arial"/>
        </w:rPr>
        <w:t xml:space="preserve">an initiation </w:t>
      </w:r>
      <w:r w:rsidRPr="000C2799">
        <w:rPr>
          <w:rFonts w:ascii="Arial" w:hAnsi="Arial" w:cs="Arial"/>
        </w:rPr>
        <w:t xml:space="preserve">of </w:t>
      </w:r>
      <w:r>
        <w:rPr>
          <w:rFonts w:ascii="Arial" w:hAnsi="Arial" w:cs="Arial"/>
        </w:rPr>
        <w:t xml:space="preserve">a new DMARD </w:t>
      </w:r>
      <w:r w:rsidRPr="000C2799">
        <w:rPr>
          <w:rFonts w:ascii="Arial" w:hAnsi="Arial" w:cs="Arial"/>
        </w:rPr>
        <w:t>treatment other than those under consideration</w:t>
      </w:r>
      <w:r>
        <w:rPr>
          <w:rFonts w:ascii="Arial" w:hAnsi="Arial" w:cs="Arial"/>
        </w:rPr>
        <w:t>,</w:t>
      </w:r>
      <w:r w:rsidRPr="000C2799">
        <w:rPr>
          <w:rFonts w:ascii="Arial" w:hAnsi="Arial" w:cs="Arial"/>
        </w:rPr>
        <w:t xml:space="preserve"> or</w:t>
      </w:r>
      <w:r>
        <w:rPr>
          <w:rFonts w:ascii="Arial" w:hAnsi="Arial" w:cs="Arial"/>
        </w:rPr>
        <w:t xml:space="preserve"> b)</w:t>
      </w:r>
      <w:r w:rsidRPr="000C2799">
        <w:rPr>
          <w:rFonts w:ascii="Arial" w:hAnsi="Arial" w:cs="Arial"/>
        </w:rPr>
        <w:t xml:space="preserve"> left undefined in case there were </w:t>
      </w:r>
      <w:r w:rsidRPr="00291E76">
        <w:rPr>
          <w:rFonts w:ascii="Arial" w:hAnsi="Arial" w:cs="Arial"/>
        </w:rPr>
        <w:t>b</w:t>
      </w:r>
      <w:r>
        <w:rPr>
          <w:rFonts w:ascii="Arial" w:hAnsi="Arial" w:cs="Arial"/>
        </w:rPr>
        <w:t>DMARD</w:t>
      </w:r>
      <w:r w:rsidRPr="00291E76">
        <w:rPr>
          <w:rFonts w:ascii="Arial" w:hAnsi="Arial" w:cs="Arial"/>
        </w:rPr>
        <w:t xml:space="preserve"> treatments </w:t>
      </w:r>
      <w:r w:rsidRPr="000C2799">
        <w:rPr>
          <w:rFonts w:ascii="Arial" w:hAnsi="Arial" w:cs="Arial"/>
        </w:rPr>
        <w:t xml:space="preserve">for which information on both the start and the stop date </w:t>
      </w:r>
      <w:r>
        <w:rPr>
          <w:rFonts w:ascii="Arial" w:hAnsi="Arial" w:cs="Arial"/>
        </w:rPr>
        <w:t>were</w:t>
      </w:r>
      <w:r w:rsidRPr="000C2799">
        <w:rPr>
          <w:rFonts w:ascii="Arial" w:hAnsi="Arial" w:cs="Arial"/>
        </w:rPr>
        <w:t xml:space="preserve"> missing.</w:t>
      </w:r>
    </w:p>
    <w:p w14:paraId="7C1E0458" w14:textId="73F71308" w:rsidR="007E4D03" w:rsidRPr="00A65C2D" w:rsidRDefault="00A65C2D" w:rsidP="00A65C2D">
      <w:pPr>
        <w:pStyle w:val="ListParagraph"/>
        <w:spacing w:after="0" w:line="480" w:lineRule="auto"/>
        <w:ind w:left="0"/>
        <w:rPr>
          <w:rFonts w:ascii="Arial" w:hAnsi="Arial" w:cs="Arial"/>
        </w:rPr>
      </w:pPr>
      <w:r>
        <w:rPr>
          <w:rFonts w:ascii="Arial" w:hAnsi="Arial" w:cs="Arial"/>
        </w:rPr>
        <w:tab/>
      </w:r>
      <w:r w:rsidR="007E4D03" w:rsidRPr="00A65C2D">
        <w:rPr>
          <w:rFonts w:ascii="Arial" w:hAnsi="Arial" w:cs="Arial"/>
        </w:rPr>
        <w:t xml:space="preserve">Definitions of follow-up for malignancies </w:t>
      </w:r>
      <w:r w:rsidRPr="00A65C2D">
        <w:rPr>
          <w:rFonts w:ascii="Arial" w:hAnsi="Arial" w:cs="Arial"/>
        </w:rPr>
        <w:t>we</w:t>
      </w:r>
      <w:r w:rsidR="007E4D03" w:rsidRPr="00A65C2D">
        <w:rPr>
          <w:rFonts w:ascii="Arial" w:hAnsi="Arial" w:cs="Arial"/>
        </w:rPr>
        <w:t>re as follows:</w:t>
      </w:r>
    </w:p>
    <w:p w14:paraId="2699AD04" w14:textId="77777777" w:rsidR="007E4D03" w:rsidRDefault="007E4D03" w:rsidP="007E4D03">
      <w:pPr>
        <w:pStyle w:val="ListParagraph"/>
        <w:numPr>
          <w:ilvl w:val="0"/>
          <w:numId w:val="2"/>
        </w:numPr>
        <w:spacing w:after="0" w:line="480" w:lineRule="auto"/>
        <w:rPr>
          <w:rFonts w:ascii="Arial" w:hAnsi="Arial" w:cs="Arial"/>
        </w:rPr>
      </w:pPr>
      <w:r>
        <w:rPr>
          <w:rFonts w:ascii="Arial" w:hAnsi="Arial" w:cs="Arial"/>
        </w:rPr>
        <w:t>The s</w:t>
      </w:r>
      <w:r w:rsidRPr="007F5EE2">
        <w:rPr>
          <w:rFonts w:ascii="Arial" w:hAnsi="Arial" w:cs="Arial"/>
        </w:rPr>
        <w:t xml:space="preserve">tart of </w:t>
      </w:r>
      <w:r>
        <w:rPr>
          <w:rFonts w:ascii="Arial" w:hAnsi="Arial" w:cs="Arial"/>
        </w:rPr>
        <w:t xml:space="preserve">the </w:t>
      </w:r>
      <w:r w:rsidRPr="007F5EE2">
        <w:rPr>
          <w:rFonts w:ascii="Arial" w:hAnsi="Arial" w:cs="Arial"/>
        </w:rPr>
        <w:t>follow-up period</w:t>
      </w:r>
      <w:r>
        <w:rPr>
          <w:rFonts w:ascii="Arial" w:hAnsi="Arial" w:cs="Arial"/>
        </w:rPr>
        <w:t xml:space="preserve"> was</w:t>
      </w:r>
      <w:r w:rsidRPr="00291E76">
        <w:rPr>
          <w:rFonts w:ascii="Arial" w:hAnsi="Arial" w:cs="Arial"/>
        </w:rPr>
        <w:t xml:space="preserve"> defined </w:t>
      </w:r>
      <w:r>
        <w:rPr>
          <w:rFonts w:ascii="Arial" w:hAnsi="Arial" w:cs="Arial"/>
        </w:rPr>
        <w:t xml:space="preserve">as either a) </w:t>
      </w:r>
      <w:r w:rsidRPr="000C2799">
        <w:rPr>
          <w:rFonts w:ascii="Arial" w:hAnsi="Arial" w:cs="Arial"/>
        </w:rPr>
        <w:t xml:space="preserve">the first visit recorded in the registry or </w:t>
      </w:r>
      <w:r>
        <w:rPr>
          <w:rFonts w:ascii="Arial" w:hAnsi="Arial" w:cs="Arial"/>
        </w:rPr>
        <w:t xml:space="preserve">b) </w:t>
      </w:r>
      <w:r w:rsidRPr="000C2799">
        <w:rPr>
          <w:rFonts w:ascii="Arial" w:hAnsi="Arial" w:cs="Arial"/>
        </w:rPr>
        <w:t>left undefined in case</w:t>
      </w:r>
      <w:r>
        <w:rPr>
          <w:rFonts w:ascii="Arial" w:hAnsi="Arial" w:cs="Arial"/>
        </w:rPr>
        <w:t>s</w:t>
      </w:r>
      <w:r w:rsidRPr="000C2799">
        <w:rPr>
          <w:rFonts w:ascii="Arial" w:hAnsi="Arial" w:cs="Arial"/>
        </w:rPr>
        <w:t xml:space="preserve"> there were DMARD treatments for which information on the start date was missing.</w:t>
      </w:r>
    </w:p>
    <w:p w14:paraId="1222FAF4" w14:textId="3F415FB1" w:rsidR="00C2111F" w:rsidRPr="007E4D03" w:rsidRDefault="007E4D03" w:rsidP="007E4D03">
      <w:pPr>
        <w:pStyle w:val="ListParagraph"/>
        <w:numPr>
          <w:ilvl w:val="0"/>
          <w:numId w:val="2"/>
        </w:numPr>
        <w:spacing w:after="0" w:line="480" w:lineRule="auto"/>
        <w:rPr>
          <w:rFonts w:ascii="Arial" w:hAnsi="Arial" w:cs="Arial"/>
        </w:rPr>
      </w:pPr>
      <w:r>
        <w:rPr>
          <w:rFonts w:ascii="Arial" w:hAnsi="Arial" w:cs="Arial"/>
        </w:rPr>
        <w:t>The e</w:t>
      </w:r>
      <w:r w:rsidRPr="000C2799">
        <w:rPr>
          <w:rFonts w:ascii="Arial" w:hAnsi="Arial" w:cs="Arial"/>
        </w:rPr>
        <w:t xml:space="preserve">nd of </w:t>
      </w:r>
      <w:r>
        <w:rPr>
          <w:rFonts w:ascii="Arial" w:hAnsi="Arial" w:cs="Arial"/>
        </w:rPr>
        <w:t xml:space="preserve">the </w:t>
      </w:r>
      <w:r w:rsidRPr="000C2799">
        <w:rPr>
          <w:rFonts w:ascii="Arial" w:hAnsi="Arial" w:cs="Arial"/>
        </w:rPr>
        <w:t>follow-up period</w:t>
      </w:r>
      <w:r w:rsidRPr="007F5EE2">
        <w:rPr>
          <w:rFonts w:ascii="Arial" w:hAnsi="Arial" w:cs="Arial"/>
        </w:rPr>
        <w:t xml:space="preserve"> </w:t>
      </w:r>
      <w:r>
        <w:rPr>
          <w:rFonts w:ascii="Arial" w:hAnsi="Arial" w:cs="Arial"/>
        </w:rPr>
        <w:t>was</w:t>
      </w:r>
      <w:r w:rsidRPr="00291E76">
        <w:rPr>
          <w:rFonts w:ascii="Arial" w:hAnsi="Arial" w:cs="Arial"/>
        </w:rPr>
        <w:t xml:space="preserve"> defined </w:t>
      </w:r>
      <w:r>
        <w:rPr>
          <w:rFonts w:ascii="Arial" w:hAnsi="Arial" w:cs="Arial"/>
        </w:rPr>
        <w:t xml:space="preserve">as either a) </w:t>
      </w:r>
      <w:r w:rsidRPr="000C2799">
        <w:rPr>
          <w:rFonts w:ascii="Arial" w:hAnsi="Arial" w:cs="Arial"/>
        </w:rPr>
        <w:t xml:space="preserve">the end of study, last visit recorded in the registry, and </w:t>
      </w:r>
      <w:r>
        <w:rPr>
          <w:rFonts w:ascii="Arial" w:hAnsi="Arial" w:cs="Arial"/>
        </w:rPr>
        <w:t xml:space="preserve">the initiation </w:t>
      </w:r>
      <w:r w:rsidRPr="000C2799">
        <w:rPr>
          <w:rFonts w:ascii="Arial" w:hAnsi="Arial" w:cs="Arial"/>
        </w:rPr>
        <w:t xml:space="preserve">of treatments with DMARDs other than those under consideration or </w:t>
      </w:r>
      <w:r>
        <w:rPr>
          <w:rFonts w:ascii="Arial" w:hAnsi="Arial" w:cs="Arial"/>
        </w:rPr>
        <w:t xml:space="preserve">b) </w:t>
      </w:r>
      <w:r w:rsidRPr="000C2799">
        <w:rPr>
          <w:rFonts w:ascii="Arial" w:hAnsi="Arial" w:cs="Arial"/>
        </w:rPr>
        <w:t>left undefined in case there were DMARD treatments for which information on the start date was missing.</w:t>
      </w:r>
      <w:bookmarkEnd w:id="1"/>
    </w:p>
    <w:sectPr w:rsidR="00C2111F" w:rsidRPr="007E4D03" w:rsidSect="00ED5F92">
      <w:footerReference w:type="default" r:id="rId9"/>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DF15F8" w14:textId="77777777" w:rsidR="007E4D03" w:rsidRDefault="007E4D03" w:rsidP="007E4D03">
      <w:pPr>
        <w:spacing w:after="0" w:line="240" w:lineRule="auto"/>
      </w:pPr>
      <w:r>
        <w:separator/>
      </w:r>
    </w:p>
  </w:endnote>
  <w:endnote w:type="continuationSeparator" w:id="0">
    <w:p w14:paraId="20C19A93" w14:textId="77777777" w:rsidR="007E4D03" w:rsidRDefault="007E4D03" w:rsidP="007E4D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2897301"/>
      <w:docPartObj>
        <w:docPartGallery w:val="Page Numbers (Bottom of Page)"/>
        <w:docPartUnique/>
      </w:docPartObj>
    </w:sdtPr>
    <w:sdtEndPr>
      <w:rPr>
        <w:noProof/>
      </w:rPr>
    </w:sdtEndPr>
    <w:sdtContent>
      <w:p w14:paraId="29533249" w14:textId="42A350F9" w:rsidR="007E4D03" w:rsidRDefault="007E4D03">
        <w:pPr>
          <w:pStyle w:val="Footer"/>
          <w:jc w:val="right"/>
        </w:pPr>
        <w:r>
          <w:fldChar w:fldCharType="begin"/>
        </w:r>
        <w:r>
          <w:instrText xml:space="preserve"> PAGE   \* MERGEFORMAT </w:instrText>
        </w:r>
        <w:r>
          <w:fldChar w:fldCharType="separate"/>
        </w:r>
        <w:r w:rsidR="00ED5F92">
          <w:rPr>
            <w:noProof/>
          </w:rPr>
          <w:t>1</w:t>
        </w:r>
        <w:r>
          <w:rPr>
            <w:noProof/>
          </w:rPr>
          <w:fldChar w:fldCharType="end"/>
        </w:r>
      </w:p>
    </w:sdtContent>
  </w:sdt>
  <w:p w14:paraId="1563C908" w14:textId="77777777" w:rsidR="007E4D03" w:rsidRDefault="007E4D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542FE7" w14:textId="77777777" w:rsidR="007E4D03" w:rsidRDefault="007E4D03" w:rsidP="007E4D03">
      <w:pPr>
        <w:spacing w:after="0" w:line="240" w:lineRule="auto"/>
      </w:pPr>
      <w:r>
        <w:separator/>
      </w:r>
    </w:p>
  </w:footnote>
  <w:footnote w:type="continuationSeparator" w:id="0">
    <w:p w14:paraId="675998BC" w14:textId="77777777" w:rsidR="007E4D03" w:rsidRDefault="007E4D03" w:rsidP="007E4D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036BB9"/>
    <w:multiLevelType w:val="hybridMultilevel"/>
    <w:tmpl w:val="F1609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ACA0366"/>
    <w:multiLevelType w:val="hybridMultilevel"/>
    <w:tmpl w:val="43546C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4D03"/>
    <w:rsid w:val="006A2BA7"/>
    <w:rsid w:val="007E4D03"/>
    <w:rsid w:val="008759EE"/>
    <w:rsid w:val="009E666C"/>
    <w:rsid w:val="00A65C2D"/>
    <w:rsid w:val="00B13427"/>
    <w:rsid w:val="00B61168"/>
    <w:rsid w:val="00C14C1F"/>
    <w:rsid w:val="00C2111F"/>
    <w:rsid w:val="00D1418A"/>
    <w:rsid w:val="00ED5037"/>
    <w:rsid w:val="00ED5F92"/>
    <w:rsid w:val="00FC11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C8BC8"/>
  <w15:chartTrackingRefBased/>
  <w15:docId w15:val="{4E88E0DE-71A4-404B-BA05-0B0D432BE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4D0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E4D03"/>
    <w:pPr>
      <w:ind w:left="720"/>
      <w:contextualSpacing/>
    </w:pPr>
  </w:style>
  <w:style w:type="character" w:customStyle="1" w:styleId="ListParagraphChar">
    <w:name w:val="List Paragraph Char"/>
    <w:basedOn w:val="DefaultParagraphFont"/>
    <w:link w:val="ListParagraph"/>
    <w:uiPriority w:val="34"/>
    <w:rsid w:val="007E4D03"/>
    <w:rPr>
      <w:lang w:val="en-GB"/>
    </w:rPr>
  </w:style>
  <w:style w:type="character" w:styleId="LineNumber">
    <w:name w:val="line number"/>
    <w:basedOn w:val="DefaultParagraphFont"/>
    <w:uiPriority w:val="99"/>
    <w:semiHidden/>
    <w:unhideWhenUsed/>
    <w:rsid w:val="007E4D03"/>
  </w:style>
  <w:style w:type="paragraph" w:styleId="Header">
    <w:name w:val="header"/>
    <w:basedOn w:val="Normal"/>
    <w:link w:val="HeaderChar"/>
    <w:uiPriority w:val="99"/>
    <w:unhideWhenUsed/>
    <w:rsid w:val="007E4D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4D03"/>
    <w:rPr>
      <w:lang w:val="en-GB"/>
    </w:rPr>
  </w:style>
  <w:style w:type="paragraph" w:styleId="Footer">
    <w:name w:val="footer"/>
    <w:basedOn w:val="Normal"/>
    <w:link w:val="FooterChar"/>
    <w:uiPriority w:val="99"/>
    <w:unhideWhenUsed/>
    <w:rsid w:val="007E4D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4D03"/>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rah.millard\AppData\Local\Temp\Templafy\WordVsto\j1tmwwx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FormConfiguration><![CDATA[{"formFields":[],"formDataEntries":[]}]]></TemplafyFormConfiguration>
</file>

<file path=customXml/item2.xml><?xml version="1.0" encoding="utf-8"?>
<TemplafyTemplateConfiguration><![CDATA[{"elementsMetadata":[],"transformationConfigurations":[],"templateName":"blankdocument","templateDescription":"","enableDocumentContentUpdater":false,"version":"2.0"}]]></TemplafyTemplateConfiguration>
</file>

<file path=customXml/itemProps1.xml><?xml version="1.0" encoding="utf-8"?>
<ds:datastoreItem xmlns:ds="http://schemas.openxmlformats.org/officeDocument/2006/customXml" ds:itemID="{95F2F197-A2A9-48E9-A8BF-801E6969C630}">
  <ds:schemaRefs/>
</ds:datastoreItem>
</file>

<file path=customXml/itemProps2.xml><?xml version="1.0" encoding="utf-8"?>
<ds:datastoreItem xmlns:ds="http://schemas.openxmlformats.org/officeDocument/2006/customXml" ds:itemID="{7678A3EE-6682-465D-8AA9-7A17495EF644}">
  <ds:schemaRefs/>
</ds:datastoreItem>
</file>

<file path=docProps/app.xml><?xml version="1.0" encoding="utf-8"?>
<Properties xmlns="http://schemas.openxmlformats.org/officeDocument/2006/extended-properties" xmlns:vt="http://schemas.openxmlformats.org/officeDocument/2006/docPropsVTypes">
  <Template>j1tmwwx2.dotx</Template>
  <TotalTime>339</TotalTime>
  <Pages>5</Pages>
  <Words>1270</Words>
  <Characters>7245</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Millard, Sarah (GLA-CDX)</dc:creator>
  <cp:keywords/>
  <dc:description/>
  <cp:lastModifiedBy>Mary Rose Caro</cp:lastModifiedBy>
  <cp:revision>8</cp:revision>
  <dcterms:created xsi:type="dcterms:W3CDTF">2022-12-02T16:15:00Z</dcterms:created>
  <dcterms:modified xsi:type="dcterms:W3CDTF">2023-05-16T07:52:00Z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mhc</vt:lpwstr>
  </property>
  <property fmtid="{D5CDD505-2E9C-101B-9397-08002B2CF9AE}" pid="3" name="TemplafyTemplateId">
    <vt:lpwstr>637472891374847281</vt:lpwstr>
  </property>
  <property fmtid="{D5CDD505-2E9C-101B-9397-08002B2CF9AE}" pid="4" name="TemplafyUserProfileId">
    <vt:lpwstr>637660922018887739</vt:lpwstr>
  </property>
  <property fmtid="{D5CDD505-2E9C-101B-9397-08002B2CF9AE}" pid="5" name="TemplafyFromBlank">
    <vt:bool>true</vt:bool>
  </property>
</Properties>
</file>