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48D10" w14:textId="77777777" w:rsidR="002C392D" w:rsidRDefault="00000000">
      <w:pPr>
        <w:pStyle w:val="Title"/>
        <w:widowControl w:val="0"/>
        <w:spacing w:after="0" w:line="360" w:lineRule="auto"/>
        <w:jc w:val="both"/>
        <w:rPr>
          <w:rFonts w:ascii="Times New Roman" w:eastAsia="Times New Roman" w:hAnsi="Times New Roman" w:cs="Times New Roman"/>
          <w:b/>
          <w:sz w:val="32"/>
          <w:szCs w:val="32"/>
        </w:rPr>
      </w:pPr>
      <w:bookmarkStart w:id="0" w:name="_hst2qt1r9xxj" w:colFirst="0" w:colLast="0"/>
      <w:bookmarkEnd w:id="0"/>
      <w:r>
        <w:rPr>
          <w:rFonts w:ascii="Times New Roman" w:eastAsia="Times New Roman" w:hAnsi="Times New Roman" w:cs="Times New Roman"/>
          <w:b/>
          <w:sz w:val="32"/>
          <w:szCs w:val="32"/>
        </w:rPr>
        <w:t>Large-scale Integrative Analysis of Juvenile Idiopathic Arthritis for New Insight into Its Pathogenesis</w:t>
      </w:r>
    </w:p>
    <w:p w14:paraId="7394799F" w14:textId="77777777" w:rsidR="002C392D" w:rsidRDefault="002C392D">
      <w:pPr>
        <w:pStyle w:val="Title"/>
        <w:widowControl w:val="0"/>
        <w:spacing w:after="0" w:line="360" w:lineRule="auto"/>
        <w:jc w:val="both"/>
        <w:rPr>
          <w:rFonts w:ascii="Times New Roman" w:eastAsia="Times New Roman" w:hAnsi="Times New Roman" w:cs="Times New Roman"/>
          <w:b/>
          <w:sz w:val="32"/>
          <w:szCs w:val="32"/>
        </w:rPr>
      </w:pPr>
      <w:bookmarkStart w:id="1" w:name="_4h82hhlo0i5a" w:colFirst="0" w:colLast="0"/>
      <w:bookmarkEnd w:id="1"/>
    </w:p>
    <w:p w14:paraId="447F629A" w14:textId="77777777" w:rsidR="0056325D" w:rsidRPr="0056325D" w:rsidRDefault="0056325D" w:rsidP="0056325D">
      <w:pPr>
        <w:pStyle w:val="Title"/>
        <w:spacing w:line="360" w:lineRule="auto"/>
        <w:rPr>
          <w:rFonts w:ascii="Times New Roman" w:hAnsi="Times New Roman" w:cs="Times New Roman"/>
          <w:b/>
          <w:bCs/>
          <w:sz w:val="22"/>
          <w:szCs w:val="22"/>
        </w:rPr>
      </w:pPr>
      <w:bookmarkStart w:id="2" w:name="_sn98apwoqebn" w:colFirst="0" w:colLast="0"/>
      <w:bookmarkEnd w:id="2"/>
      <w:proofErr w:type="spellStart"/>
      <w:r w:rsidRPr="0056325D">
        <w:rPr>
          <w:rFonts w:ascii="Times New Roman" w:hAnsi="Times New Roman" w:cs="Times New Roman"/>
          <w:b/>
          <w:bCs/>
          <w:sz w:val="22"/>
          <w:szCs w:val="22"/>
        </w:rPr>
        <w:t>Daeun</w:t>
      </w:r>
      <w:proofErr w:type="spellEnd"/>
      <w:r w:rsidRPr="0056325D">
        <w:rPr>
          <w:rFonts w:ascii="Times New Roman" w:hAnsi="Times New Roman" w:cs="Times New Roman"/>
          <w:b/>
          <w:bCs/>
          <w:sz w:val="22"/>
          <w:szCs w:val="22"/>
        </w:rPr>
        <w:t xml:space="preserve"> Kim</w:t>
      </w:r>
      <w:r w:rsidRPr="0056325D">
        <w:rPr>
          <w:rFonts w:ascii="Times New Roman" w:hAnsi="Times New Roman" w:cs="Times New Roman"/>
          <w:b/>
          <w:bCs/>
          <w:sz w:val="22"/>
          <w:szCs w:val="22"/>
          <w:vertAlign w:val="superscript"/>
        </w:rPr>
        <w:t>1</w:t>
      </w:r>
      <w:r w:rsidRPr="0056325D">
        <w:rPr>
          <w:rFonts w:ascii="Times New Roman" w:hAnsi="Times New Roman" w:cs="Times New Roman"/>
          <w:b/>
          <w:bCs/>
          <w:sz w:val="22"/>
          <w:szCs w:val="22"/>
        </w:rPr>
        <w:t xml:space="preserve">, </w:t>
      </w:r>
      <w:proofErr w:type="spellStart"/>
      <w:r w:rsidRPr="0056325D">
        <w:rPr>
          <w:rFonts w:ascii="Times New Roman" w:hAnsi="Times New Roman" w:cs="Times New Roman"/>
          <w:b/>
          <w:bCs/>
          <w:sz w:val="22"/>
          <w:szCs w:val="22"/>
        </w:rPr>
        <w:t>Jaeseung</w:t>
      </w:r>
      <w:proofErr w:type="spellEnd"/>
      <w:r w:rsidRPr="0056325D">
        <w:rPr>
          <w:rFonts w:ascii="Times New Roman" w:hAnsi="Times New Roman" w:cs="Times New Roman"/>
          <w:b/>
          <w:bCs/>
          <w:sz w:val="22"/>
          <w:szCs w:val="22"/>
        </w:rPr>
        <w:t xml:space="preserve"> Song</w:t>
      </w:r>
      <w:r w:rsidRPr="0056325D">
        <w:rPr>
          <w:rFonts w:ascii="Times New Roman" w:hAnsi="Times New Roman" w:cs="Times New Roman"/>
          <w:b/>
          <w:bCs/>
          <w:sz w:val="22"/>
          <w:szCs w:val="22"/>
          <w:vertAlign w:val="superscript"/>
        </w:rPr>
        <w:t>1</w:t>
      </w:r>
      <w:r w:rsidRPr="0056325D">
        <w:rPr>
          <w:rFonts w:ascii="Times New Roman" w:hAnsi="Times New Roman" w:cs="Times New Roman"/>
          <w:b/>
          <w:bCs/>
          <w:sz w:val="22"/>
          <w:szCs w:val="22"/>
        </w:rPr>
        <w:t>, Nicholas Mancuso</w:t>
      </w:r>
      <w:r w:rsidRPr="0056325D">
        <w:rPr>
          <w:rFonts w:ascii="Times New Roman" w:hAnsi="Times New Roman" w:cs="Times New Roman"/>
          <w:b/>
          <w:bCs/>
          <w:sz w:val="22"/>
          <w:szCs w:val="22"/>
          <w:vertAlign w:val="superscript"/>
        </w:rPr>
        <w:t>2,4</w:t>
      </w:r>
      <w:r w:rsidRPr="0056325D">
        <w:rPr>
          <w:rFonts w:ascii="Times New Roman" w:hAnsi="Times New Roman" w:cs="Times New Roman"/>
          <w:b/>
          <w:bCs/>
          <w:sz w:val="22"/>
          <w:szCs w:val="22"/>
        </w:rPr>
        <w:t xml:space="preserve">, </w:t>
      </w:r>
      <w:proofErr w:type="spellStart"/>
      <w:r w:rsidRPr="0056325D">
        <w:rPr>
          <w:rFonts w:ascii="Times New Roman" w:hAnsi="Times New Roman" w:cs="Times New Roman"/>
          <w:b/>
          <w:bCs/>
          <w:sz w:val="22"/>
          <w:szCs w:val="22"/>
        </w:rPr>
        <w:t>Serghei</w:t>
      </w:r>
      <w:proofErr w:type="spellEnd"/>
      <w:r w:rsidRPr="0056325D">
        <w:rPr>
          <w:rFonts w:ascii="Times New Roman" w:hAnsi="Times New Roman" w:cs="Times New Roman"/>
          <w:b/>
          <w:bCs/>
          <w:sz w:val="22"/>
          <w:szCs w:val="22"/>
        </w:rPr>
        <w:t xml:space="preserve"> Mangul</w:t>
      </w:r>
      <w:r w:rsidRPr="0056325D">
        <w:rPr>
          <w:rFonts w:ascii="Times New Roman" w:hAnsi="Times New Roman" w:cs="Times New Roman"/>
          <w:b/>
          <w:bCs/>
          <w:sz w:val="22"/>
          <w:szCs w:val="22"/>
          <w:vertAlign w:val="superscript"/>
        </w:rPr>
        <w:t>3,4</w:t>
      </w:r>
      <w:r w:rsidRPr="0056325D">
        <w:rPr>
          <w:rFonts w:ascii="Times New Roman" w:hAnsi="Times New Roman" w:cs="Times New Roman"/>
          <w:b/>
          <w:bCs/>
          <w:sz w:val="22"/>
          <w:szCs w:val="22"/>
        </w:rPr>
        <w:t>, Junghyun Jung</w:t>
      </w:r>
      <w:r w:rsidRPr="0056325D">
        <w:rPr>
          <w:rFonts w:ascii="Times New Roman" w:hAnsi="Times New Roman" w:cs="Times New Roman"/>
          <w:b/>
          <w:bCs/>
          <w:sz w:val="22"/>
          <w:szCs w:val="22"/>
          <w:vertAlign w:val="superscript"/>
        </w:rPr>
        <w:t>1,2,5*</w:t>
      </w:r>
      <w:r w:rsidRPr="0056325D">
        <w:rPr>
          <w:rFonts w:ascii="Times New Roman" w:hAnsi="Times New Roman" w:cs="Times New Roman"/>
          <w:b/>
          <w:bCs/>
          <w:sz w:val="22"/>
          <w:szCs w:val="22"/>
        </w:rPr>
        <w:t xml:space="preserve">, </w:t>
      </w:r>
      <w:proofErr w:type="spellStart"/>
      <w:r w:rsidRPr="0056325D">
        <w:rPr>
          <w:rFonts w:ascii="Times New Roman" w:hAnsi="Times New Roman" w:cs="Times New Roman"/>
          <w:b/>
          <w:bCs/>
          <w:sz w:val="22"/>
          <w:szCs w:val="22"/>
        </w:rPr>
        <w:t>Wonhee</w:t>
      </w:r>
      <w:proofErr w:type="spellEnd"/>
      <w:r w:rsidRPr="0056325D">
        <w:rPr>
          <w:rFonts w:ascii="Times New Roman" w:hAnsi="Times New Roman" w:cs="Times New Roman"/>
          <w:b/>
          <w:bCs/>
          <w:sz w:val="22"/>
          <w:szCs w:val="22"/>
        </w:rPr>
        <w:t xml:space="preserve"> Jang</w:t>
      </w:r>
      <w:r w:rsidRPr="0056325D">
        <w:rPr>
          <w:rFonts w:ascii="Times New Roman" w:hAnsi="Times New Roman" w:cs="Times New Roman"/>
          <w:b/>
          <w:bCs/>
          <w:sz w:val="22"/>
          <w:szCs w:val="22"/>
          <w:vertAlign w:val="superscript"/>
        </w:rPr>
        <w:t>1, *</w:t>
      </w:r>
    </w:p>
    <w:p w14:paraId="38F54105" w14:textId="77777777" w:rsidR="00B86015" w:rsidRDefault="00B86015" w:rsidP="00B86015">
      <w:pPr>
        <w:spacing w:before="240"/>
        <w:rPr>
          <w:rFonts w:ascii="Times New Roman" w:hAnsi="Times New Roman" w:cs="Times New Roman"/>
          <w:vertAlign w:val="superscript"/>
        </w:rPr>
      </w:pPr>
    </w:p>
    <w:p w14:paraId="5223E5A9" w14:textId="3DFD4963" w:rsidR="00B86015" w:rsidRPr="00B86015" w:rsidRDefault="00B86015" w:rsidP="00B86015">
      <w:pPr>
        <w:spacing w:before="240"/>
        <w:rPr>
          <w:rFonts w:ascii="Times New Roman" w:hAnsi="Times New Roman" w:cs="Times New Roman"/>
        </w:rPr>
      </w:pPr>
      <w:r w:rsidRPr="00B86015">
        <w:rPr>
          <w:rFonts w:ascii="Times New Roman" w:hAnsi="Times New Roman" w:cs="Times New Roman"/>
          <w:vertAlign w:val="superscript"/>
        </w:rPr>
        <w:t>1</w:t>
      </w:r>
      <w:r w:rsidRPr="00B86015">
        <w:rPr>
          <w:rFonts w:ascii="Times New Roman" w:hAnsi="Times New Roman" w:cs="Times New Roman"/>
        </w:rPr>
        <w:t>Department of Life Sciences, Dongguk University-Seoul, 04620, Seoul, Republic of Korea</w:t>
      </w:r>
    </w:p>
    <w:p w14:paraId="462E5910" w14:textId="77777777" w:rsidR="00B86015" w:rsidRDefault="00B86015" w:rsidP="00B86015">
      <w:pPr>
        <w:spacing w:before="240"/>
        <w:rPr>
          <w:rFonts w:ascii="Times New Roman" w:hAnsi="Times New Roman" w:cs="Times New Roman"/>
        </w:rPr>
      </w:pPr>
      <w:r w:rsidRPr="00B86015">
        <w:rPr>
          <w:rFonts w:ascii="Times New Roman" w:hAnsi="Times New Roman" w:cs="Times New Roman"/>
          <w:vertAlign w:val="superscript"/>
        </w:rPr>
        <w:t>2</w:t>
      </w:r>
      <w:r w:rsidRPr="00B86015">
        <w:rPr>
          <w:rFonts w:ascii="Times New Roman" w:hAnsi="Times New Roman" w:cs="Times New Roman"/>
        </w:rPr>
        <w:t>Center for Genetic Epidemiology, Keck School of Medicine, University of Southern California, Los Angeles, CA, USA</w:t>
      </w:r>
    </w:p>
    <w:p w14:paraId="3FAF80AA" w14:textId="7AF68EC1" w:rsidR="00905A03" w:rsidRPr="00B86015" w:rsidRDefault="00905A03" w:rsidP="00905A03">
      <w:pPr>
        <w:shd w:val="clear" w:color="auto" w:fill="FFFFFF"/>
        <w:spacing w:before="240"/>
        <w:rPr>
          <w:rFonts w:ascii="Times New Roman" w:hAnsi="Times New Roman" w:cs="Times New Roman"/>
        </w:rPr>
      </w:pPr>
      <w:r>
        <w:rPr>
          <w:rFonts w:ascii="Times New Roman" w:hAnsi="Times New Roman" w:cs="Times New Roman"/>
          <w:vertAlign w:val="superscript"/>
        </w:rPr>
        <w:t>3</w:t>
      </w:r>
      <w:r w:rsidRPr="00B86015">
        <w:rPr>
          <w:rFonts w:ascii="Times New Roman" w:hAnsi="Times New Roman" w:cs="Times New Roman"/>
        </w:rPr>
        <w:t xml:space="preserve">Department of Quantitative and Computational Biology, USC </w:t>
      </w:r>
      <w:proofErr w:type="spellStart"/>
      <w:r w:rsidRPr="00B86015">
        <w:rPr>
          <w:rFonts w:ascii="Times New Roman" w:hAnsi="Times New Roman" w:cs="Times New Roman"/>
        </w:rPr>
        <w:t>Dornsife</w:t>
      </w:r>
      <w:proofErr w:type="spellEnd"/>
      <w:r w:rsidRPr="00B86015">
        <w:rPr>
          <w:rFonts w:ascii="Times New Roman" w:hAnsi="Times New Roman" w:cs="Times New Roman"/>
        </w:rPr>
        <w:t xml:space="preserve"> College of Letters, Arts and Sciences, University of Southern California, Los Angeles, CA, USA</w:t>
      </w:r>
    </w:p>
    <w:p w14:paraId="7B1B9E64" w14:textId="35180293" w:rsidR="00B86015" w:rsidRPr="00B86015" w:rsidRDefault="00905A03" w:rsidP="00B86015">
      <w:pPr>
        <w:spacing w:before="240"/>
        <w:rPr>
          <w:rFonts w:ascii="Times New Roman" w:hAnsi="Times New Roman" w:cs="Times New Roman"/>
        </w:rPr>
      </w:pPr>
      <w:r>
        <w:rPr>
          <w:rFonts w:ascii="Times New Roman" w:hAnsi="Times New Roman" w:cs="Times New Roman"/>
          <w:vertAlign w:val="superscript"/>
        </w:rPr>
        <w:t>4</w:t>
      </w:r>
      <w:r w:rsidR="00B86015" w:rsidRPr="00B86015">
        <w:rPr>
          <w:rFonts w:ascii="Times New Roman" w:hAnsi="Times New Roman" w:cs="Times New Roman"/>
        </w:rPr>
        <w:t>Department of Clinical Pharmacy, USC Alfred E. Mann School of Pharmacy and Pharmaceutical Sciences, University of Southern California, Los Angeles, CA, USA</w:t>
      </w:r>
    </w:p>
    <w:p w14:paraId="069654C9" w14:textId="77777777" w:rsidR="00B86015" w:rsidRPr="00B86015" w:rsidRDefault="00B86015" w:rsidP="00B86015">
      <w:pPr>
        <w:rPr>
          <w:rFonts w:ascii="Times New Roman" w:hAnsi="Times New Roman" w:cs="Times New Roman"/>
        </w:rPr>
      </w:pPr>
    </w:p>
    <w:p w14:paraId="503F554C" w14:textId="77777777" w:rsidR="00B86015" w:rsidRPr="00B86015" w:rsidRDefault="00B86015" w:rsidP="00B86015">
      <w:pPr>
        <w:rPr>
          <w:rFonts w:ascii="Times New Roman" w:hAnsi="Times New Roman" w:cs="Times New Roman"/>
        </w:rPr>
      </w:pPr>
      <w:r w:rsidRPr="00B86015">
        <w:rPr>
          <w:rFonts w:ascii="Times New Roman" w:hAnsi="Times New Roman" w:cs="Times New Roman"/>
          <w:vertAlign w:val="superscript"/>
        </w:rPr>
        <w:t>5</w:t>
      </w:r>
      <w:r w:rsidRPr="00B86015">
        <w:rPr>
          <w:rFonts w:ascii="Times New Roman" w:hAnsi="Times New Roman" w:cs="Times New Roman"/>
        </w:rPr>
        <w:t>Department of Computational Biomedicine, Cedars-Sinai Medical Center, Hollywood, CA, USA</w:t>
      </w:r>
    </w:p>
    <w:p w14:paraId="28B819E1" w14:textId="77777777" w:rsidR="00B86015" w:rsidRPr="00B86015" w:rsidRDefault="00B86015" w:rsidP="00B86015">
      <w:pPr>
        <w:spacing w:before="240"/>
        <w:rPr>
          <w:rFonts w:ascii="Times New Roman" w:hAnsi="Times New Roman" w:cs="Times New Roman"/>
        </w:rPr>
      </w:pPr>
    </w:p>
    <w:p w14:paraId="39C59B57" w14:textId="77777777" w:rsidR="00B86015" w:rsidRPr="00B86015" w:rsidRDefault="00B86015" w:rsidP="00B86015">
      <w:pPr>
        <w:pBdr>
          <w:top w:val="nil"/>
          <w:left w:val="nil"/>
          <w:bottom w:val="nil"/>
          <w:right w:val="nil"/>
          <w:between w:val="nil"/>
        </w:pBdr>
        <w:spacing w:before="240"/>
        <w:rPr>
          <w:rFonts w:ascii="Times New Roman" w:hAnsi="Times New Roman" w:cs="Times New Roman"/>
        </w:rPr>
      </w:pPr>
      <w:r w:rsidRPr="00B86015">
        <w:rPr>
          <w:rFonts w:ascii="Times New Roman" w:hAnsi="Times New Roman" w:cs="Times New Roman"/>
        </w:rPr>
        <w:t>* These authors jointly supervised this work. Correspondence should be addressed to J.J. (</w:t>
      </w:r>
      <w:hyperlink r:id="rId6" w:history="1">
        <w:r w:rsidRPr="00B86015">
          <w:rPr>
            <w:rStyle w:val="Hyperlink"/>
            <w:rFonts w:ascii="Times New Roman" w:hAnsi="Times New Roman" w:cs="Times New Roman"/>
          </w:rPr>
          <w:t>junghyun.jung@cshs.org</w:t>
        </w:r>
      </w:hyperlink>
      <w:r w:rsidRPr="00B86015">
        <w:rPr>
          <w:rFonts w:ascii="Times New Roman" w:hAnsi="Times New Roman" w:cs="Times New Roman"/>
        </w:rPr>
        <w:t>) and W.J. (</w:t>
      </w:r>
      <w:hyperlink r:id="rId7">
        <w:r w:rsidRPr="00B86015">
          <w:rPr>
            <w:rFonts w:ascii="Times New Roman" w:hAnsi="Times New Roman" w:cs="Times New Roman"/>
          </w:rPr>
          <w:t>wany@dongguk.edu</w:t>
        </w:r>
      </w:hyperlink>
      <w:r w:rsidRPr="00B86015">
        <w:rPr>
          <w:rFonts w:ascii="Times New Roman" w:hAnsi="Times New Roman" w:cs="Times New Roman"/>
        </w:rPr>
        <w:t>)</w:t>
      </w:r>
    </w:p>
    <w:p w14:paraId="279F0AA0" w14:textId="77777777" w:rsidR="00B86015" w:rsidRDefault="00B86015">
      <w:pPr>
        <w:spacing w:before="240" w:line="240" w:lineRule="auto"/>
        <w:jc w:val="both"/>
        <w:rPr>
          <w:rFonts w:ascii="Times New Roman" w:eastAsia="Times New Roman" w:hAnsi="Times New Roman" w:cs="Times New Roman"/>
        </w:rPr>
      </w:pPr>
    </w:p>
    <w:p w14:paraId="507C076A" w14:textId="77777777" w:rsidR="002C392D" w:rsidRDefault="002C392D">
      <w:pPr>
        <w:widowControl w:val="0"/>
        <w:spacing w:line="480" w:lineRule="auto"/>
        <w:jc w:val="both"/>
        <w:rPr>
          <w:rFonts w:ascii="Times New Roman" w:eastAsia="Times New Roman" w:hAnsi="Times New Roman" w:cs="Times New Roman"/>
          <w:b/>
          <w:sz w:val="28"/>
          <w:szCs w:val="28"/>
        </w:rPr>
      </w:pPr>
    </w:p>
    <w:p w14:paraId="41353D75" w14:textId="77777777" w:rsidR="002C392D" w:rsidRDefault="00000000">
      <w:pPr>
        <w:spacing w:line="240" w:lineRule="auto"/>
        <w:jc w:val="both"/>
        <w:rPr>
          <w:rFonts w:ascii="Times New Roman" w:eastAsia="Times New Roman" w:hAnsi="Times New Roman" w:cs="Times New Roman"/>
          <w:b/>
          <w:sz w:val="28"/>
          <w:szCs w:val="28"/>
        </w:rPr>
      </w:pPr>
      <w:r>
        <w:rPr>
          <w:noProof/>
        </w:rPr>
        <w:lastRenderedPageBreak/>
        <w:drawing>
          <wp:anchor distT="114300" distB="114300" distL="114300" distR="114300" simplePos="0" relativeHeight="251658240" behindDoc="0" locked="0" layoutInCell="1" hidden="0" allowOverlap="1" wp14:anchorId="04FD36FF" wp14:editId="013384AB">
            <wp:simplePos x="0" y="0"/>
            <wp:positionH relativeFrom="column">
              <wp:posOffset>19051</wp:posOffset>
            </wp:positionH>
            <wp:positionV relativeFrom="paragraph">
              <wp:posOffset>228600</wp:posOffset>
            </wp:positionV>
            <wp:extent cx="5731200" cy="5727700"/>
            <wp:effectExtent l="0" t="0" r="0" b="0"/>
            <wp:wrapTopAndBottom distT="11430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5727700"/>
                    </a:xfrm>
                    <a:prstGeom prst="rect">
                      <a:avLst/>
                    </a:prstGeom>
                    <a:ln/>
                  </pic:spPr>
                </pic:pic>
              </a:graphicData>
            </a:graphic>
          </wp:anchor>
        </w:drawing>
      </w:r>
    </w:p>
    <w:p w14:paraId="32838413" w14:textId="77777777" w:rsidR="002C392D"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b/>
          <w:sz w:val="24"/>
          <w:szCs w:val="24"/>
        </w:rPr>
        <w:t>Supplementary Figure S1. Identification of co-expression modules using GSE13501 and WGCNA.</w:t>
      </w:r>
      <w:r>
        <w:rPr>
          <w:rFonts w:ascii="Times New Roman" w:eastAsia="Times New Roman" w:hAnsi="Times New Roman" w:cs="Times New Roman"/>
          <w:b/>
        </w:rPr>
        <w:t xml:space="preserve"> </w:t>
      </w:r>
      <w:r>
        <w:rPr>
          <w:rFonts w:ascii="Times New Roman" w:eastAsia="Times New Roman" w:hAnsi="Times New Roman" w:cs="Times New Roman"/>
        </w:rPr>
        <w:t>(</w:t>
      </w:r>
      <w:r>
        <w:rPr>
          <w:rFonts w:ascii="Times New Roman" w:eastAsia="Times New Roman" w:hAnsi="Times New Roman" w:cs="Times New Roman"/>
          <w:b/>
        </w:rPr>
        <w:t>A</w:t>
      </w:r>
      <w:r>
        <w:rPr>
          <w:rFonts w:ascii="Times New Roman" w:eastAsia="Times New Roman" w:hAnsi="Times New Roman" w:cs="Times New Roman"/>
        </w:rPr>
        <w:t>) A dendrogram showing co-expression modules based on the dissimilarity of topological overlap measurement. Color bars represent the randomly assigned colors for the module names. The orders of module colors are purple, green, black, magenta, yellow, turquoise, blue, red, pink, tan, and brown. (</w:t>
      </w:r>
      <w:r>
        <w:rPr>
          <w:rFonts w:ascii="Times New Roman" w:eastAsia="Times New Roman" w:hAnsi="Times New Roman" w:cs="Times New Roman"/>
          <w:b/>
        </w:rPr>
        <w:t>B</w:t>
      </w:r>
      <w:r>
        <w:rPr>
          <w:rFonts w:ascii="Times New Roman" w:eastAsia="Times New Roman" w:hAnsi="Times New Roman" w:cs="Times New Roman"/>
        </w:rPr>
        <w:t>)</w:t>
      </w:r>
      <w:r>
        <w:rPr>
          <w:rFonts w:ascii="Times New Roman" w:eastAsia="Times New Roman" w:hAnsi="Times New Roman" w:cs="Times New Roman"/>
          <w:b/>
        </w:rPr>
        <w:t xml:space="preserve"> </w:t>
      </w:r>
      <w:r>
        <w:rPr>
          <w:rFonts w:ascii="Times New Roman" w:eastAsia="Times New Roman" w:hAnsi="Times New Roman" w:cs="Times New Roman"/>
        </w:rPr>
        <w:t>The result of module preservation analysis using GSE13501 as a reference set and GSE112057 as a test set. (</w:t>
      </w:r>
      <w:r>
        <w:rPr>
          <w:rFonts w:ascii="Times New Roman" w:eastAsia="Times New Roman" w:hAnsi="Times New Roman" w:cs="Times New Roman"/>
          <w:b/>
        </w:rPr>
        <w:t>C</w:t>
      </w:r>
      <w:r>
        <w:rPr>
          <w:rFonts w:ascii="Times New Roman" w:eastAsia="Times New Roman" w:hAnsi="Times New Roman" w:cs="Times New Roman"/>
        </w:rPr>
        <w:t xml:space="preserve">) The result of module preservation analysis using GSE13501 as a reference set and GSE79970 as a test set. The green and blue dotted lines indicate the thresholds of significance, respectively (Z-summary score &gt; 2 and Z-summary score &gt; 10). </w:t>
      </w:r>
    </w:p>
    <w:p w14:paraId="7A6EAD2F" w14:textId="77777777" w:rsidR="002C392D" w:rsidRDefault="00000000">
      <w:pPr>
        <w:widowControl w:val="0"/>
        <w:spacing w:line="360" w:lineRule="auto"/>
        <w:jc w:val="both"/>
        <w:rPr>
          <w:rFonts w:ascii="Times New Roman" w:eastAsia="Times New Roman" w:hAnsi="Times New Roman" w:cs="Times New Roman"/>
          <w:b/>
          <w:sz w:val="28"/>
          <w:szCs w:val="28"/>
        </w:rPr>
      </w:pPr>
      <w:r>
        <w:br w:type="page"/>
      </w:r>
    </w:p>
    <w:p w14:paraId="02F6CD94" w14:textId="77777777" w:rsidR="002C392D" w:rsidRDefault="00000000">
      <w:pPr>
        <w:widowControl w:val="0"/>
        <w:spacing w:line="360" w:lineRule="auto"/>
        <w:jc w:val="both"/>
        <w:rPr>
          <w:rFonts w:ascii="Times New Roman" w:eastAsia="Times New Roman" w:hAnsi="Times New Roman" w:cs="Times New Roman"/>
          <w:b/>
          <w:sz w:val="28"/>
          <w:szCs w:val="28"/>
        </w:rPr>
      </w:pPr>
      <w:r>
        <w:rPr>
          <w:noProof/>
        </w:rPr>
        <w:lastRenderedPageBreak/>
        <w:drawing>
          <wp:anchor distT="114300" distB="114300" distL="114300" distR="114300" simplePos="0" relativeHeight="251659264" behindDoc="0" locked="0" layoutInCell="1" hidden="0" allowOverlap="1" wp14:anchorId="30755828" wp14:editId="20C3CDAD">
            <wp:simplePos x="0" y="0"/>
            <wp:positionH relativeFrom="column">
              <wp:posOffset>19051</wp:posOffset>
            </wp:positionH>
            <wp:positionV relativeFrom="paragraph">
              <wp:posOffset>342900</wp:posOffset>
            </wp:positionV>
            <wp:extent cx="5731200" cy="4089400"/>
            <wp:effectExtent l="0" t="0" r="0" b="0"/>
            <wp:wrapTopAndBottom distT="114300" distB="11430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731200" cy="4089400"/>
                    </a:xfrm>
                    <a:prstGeom prst="rect">
                      <a:avLst/>
                    </a:prstGeom>
                    <a:ln/>
                  </pic:spPr>
                </pic:pic>
              </a:graphicData>
            </a:graphic>
          </wp:anchor>
        </w:drawing>
      </w:r>
    </w:p>
    <w:p w14:paraId="513950A6" w14:textId="77777777" w:rsidR="002C392D"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b/>
          <w:sz w:val="24"/>
          <w:szCs w:val="24"/>
        </w:rPr>
        <w:t xml:space="preserve">Supplementary Figure S2. Functional annotation of co-expression modules enriched with TWAS associations. </w:t>
      </w:r>
      <w:r>
        <w:rPr>
          <w:rFonts w:ascii="Times New Roman" w:eastAsia="Times New Roman" w:hAnsi="Times New Roman" w:cs="Times New Roman"/>
        </w:rPr>
        <w:t>(</w:t>
      </w:r>
      <w:r>
        <w:rPr>
          <w:rFonts w:ascii="Times New Roman" w:eastAsia="Times New Roman" w:hAnsi="Times New Roman" w:cs="Times New Roman"/>
          <w:b/>
        </w:rPr>
        <w:t>A</w:t>
      </w:r>
      <w:r>
        <w:rPr>
          <w:rFonts w:ascii="Times New Roman" w:eastAsia="Times New Roman" w:hAnsi="Times New Roman" w:cs="Times New Roman"/>
        </w:rPr>
        <w:t xml:space="preserve">) A GSEA plot using a ranked gene list from </w:t>
      </w:r>
      <w:proofErr w:type="spellStart"/>
      <w:r>
        <w:rPr>
          <w:rFonts w:ascii="Times New Roman" w:eastAsia="Times New Roman" w:hAnsi="Times New Roman" w:cs="Times New Roman"/>
        </w:rPr>
        <w:t>GTEx</w:t>
      </w:r>
      <w:proofErr w:type="spellEnd"/>
      <w:r>
        <w:rPr>
          <w:rFonts w:ascii="Times New Roman" w:eastAsia="Times New Roman" w:hAnsi="Times New Roman" w:cs="Times New Roman"/>
        </w:rPr>
        <w:t xml:space="preserve">: Adipose Visceral </w:t>
      </w:r>
      <w:proofErr w:type="spellStart"/>
      <w:r>
        <w:rPr>
          <w:rFonts w:ascii="Times New Roman" w:eastAsia="Times New Roman" w:hAnsi="Times New Roman" w:cs="Times New Roman"/>
        </w:rPr>
        <w:t>Omentum</w:t>
      </w:r>
      <w:proofErr w:type="spellEnd"/>
      <w:r>
        <w:rPr>
          <w:rFonts w:ascii="Times New Roman" w:eastAsia="Times New Roman" w:hAnsi="Times New Roman" w:cs="Times New Roman"/>
        </w:rPr>
        <w:t xml:space="preserve"> and magenta module (normalized enrichment score (</w:t>
      </w:r>
      <w:r>
        <w:rPr>
          <w:rFonts w:ascii="Gungsuh" w:eastAsia="Gungsuh" w:hAnsi="Gungsuh" w:cs="Gungsuh"/>
          <w:highlight w:val="white"/>
        </w:rPr>
        <w:t>NES) = −1.93 and FDR = 0.025</w:t>
      </w:r>
      <w:r>
        <w:rPr>
          <w:rFonts w:ascii="Times New Roman" w:eastAsia="Times New Roman" w:hAnsi="Times New Roman" w:cs="Times New Roman"/>
        </w:rPr>
        <w:t>) (</w:t>
      </w:r>
      <w:r>
        <w:rPr>
          <w:rFonts w:ascii="Times New Roman" w:eastAsia="Times New Roman" w:hAnsi="Times New Roman" w:cs="Times New Roman"/>
          <w:b/>
        </w:rPr>
        <w:t>B</w:t>
      </w:r>
      <w:r>
        <w:rPr>
          <w:rFonts w:ascii="Times New Roman" w:eastAsia="Times New Roman" w:hAnsi="Times New Roman" w:cs="Times New Roman"/>
        </w:rPr>
        <w:t xml:space="preserve">) A GSEA plot using a ranked gene list from </w:t>
      </w:r>
      <w:proofErr w:type="spellStart"/>
      <w:r>
        <w:rPr>
          <w:rFonts w:ascii="Times New Roman" w:eastAsia="Times New Roman" w:hAnsi="Times New Roman" w:cs="Times New Roman"/>
        </w:rPr>
        <w:t>GTEx</w:t>
      </w:r>
      <w:proofErr w:type="spellEnd"/>
      <w:r>
        <w:rPr>
          <w:rFonts w:ascii="Times New Roman" w:eastAsia="Times New Roman" w:hAnsi="Times New Roman" w:cs="Times New Roman"/>
        </w:rPr>
        <w:t>: Artery Aorta and magenta module (</w:t>
      </w:r>
      <w:r>
        <w:rPr>
          <w:rFonts w:ascii="Gungsuh" w:eastAsia="Gungsuh" w:hAnsi="Gungsuh" w:cs="Gungsuh"/>
          <w:highlight w:val="white"/>
        </w:rPr>
        <w:t>NES = −1.93, and FDR = 0.024</w:t>
      </w:r>
      <w:r>
        <w:rPr>
          <w:rFonts w:ascii="Times New Roman" w:eastAsia="Times New Roman" w:hAnsi="Times New Roman" w:cs="Times New Roman"/>
        </w:rPr>
        <w:t>). (</w:t>
      </w:r>
      <w:r>
        <w:rPr>
          <w:rFonts w:ascii="Times New Roman" w:eastAsia="Times New Roman" w:hAnsi="Times New Roman" w:cs="Times New Roman"/>
          <w:b/>
        </w:rPr>
        <w:t>C</w:t>
      </w:r>
      <w:r>
        <w:rPr>
          <w:rFonts w:ascii="Times New Roman" w:eastAsia="Times New Roman" w:hAnsi="Times New Roman" w:cs="Times New Roman"/>
        </w:rPr>
        <w:t>) A GSEA plot using a ranked gene list from NTR: Blood and black module (</w:t>
      </w:r>
      <w:r>
        <w:rPr>
          <w:rFonts w:ascii="Times New Roman" w:eastAsia="Times New Roman" w:hAnsi="Times New Roman" w:cs="Times New Roman"/>
          <w:highlight w:val="white"/>
        </w:rPr>
        <w:t>NES = 1.84, and FDR = 0.024</w:t>
      </w:r>
      <w:r>
        <w:rPr>
          <w:rFonts w:ascii="Times New Roman" w:eastAsia="Times New Roman" w:hAnsi="Times New Roman" w:cs="Times New Roman"/>
        </w:rPr>
        <w:t>). (</w:t>
      </w:r>
      <w:r>
        <w:rPr>
          <w:rFonts w:ascii="Times New Roman" w:eastAsia="Times New Roman" w:hAnsi="Times New Roman" w:cs="Times New Roman"/>
          <w:b/>
        </w:rPr>
        <w:t>D</w:t>
      </w:r>
      <w:r>
        <w:rPr>
          <w:rFonts w:ascii="Times New Roman" w:eastAsia="Times New Roman" w:hAnsi="Times New Roman" w:cs="Times New Roman"/>
        </w:rPr>
        <w:t xml:space="preserve">) A GSEA plot using a ranked gene list from </w:t>
      </w:r>
      <w:proofErr w:type="spellStart"/>
      <w:r>
        <w:rPr>
          <w:rFonts w:ascii="Times New Roman" w:eastAsia="Times New Roman" w:hAnsi="Times New Roman" w:cs="Times New Roman"/>
        </w:rPr>
        <w:t>GTEx</w:t>
      </w:r>
      <w:proofErr w:type="spellEnd"/>
      <w:r>
        <w:rPr>
          <w:rFonts w:ascii="Times New Roman" w:eastAsia="Times New Roman" w:hAnsi="Times New Roman" w:cs="Times New Roman"/>
        </w:rPr>
        <w:t>: Muscle Skeletal and yellow module (</w:t>
      </w:r>
      <w:r>
        <w:rPr>
          <w:rFonts w:ascii="Times New Roman" w:eastAsia="Times New Roman" w:hAnsi="Times New Roman" w:cs="Times New Roman"/>
          <w:highlight w:val="white"/>
        </w:rPr>
        <w:t>NES = 1.43, and FDR = 0.049</w:t>
      </w:r>
      <w:r>
        <w:rPr>
          <w:rFonts w:ascii="Times New Roman" w:eastAsia="Times New Roman" w:hAnsi="Times New Roman" w:cs="Times New Roman"/>
        </w:rPr>
        <w:t>).</w:t>
      </w:r>
    </w:p>
    <w:p w14:paraId="1ED7DEC1" w14:textId="77777777" w:rsidR="002C392D" w:rsidRDefault="002C392D">
      <w:pPr>
        <w:spacing w:line="240" w:lineRule="auto"/>
        <w:jc w:val="both"/>
        <w:rPr>
          <w:rFonts w:ascii="Times New Roman" w:eastAsia="Times New Roman" w:hAnsi="Times New Roman" w:cs="Times New Roman"/>
        </w:rPr>
      </w:pPr>
    </w:p>
    <w:p w14:paraId="5A89528D" w14:textId="77777777" w:rsidR="002C392D" w:rsidRDefault="00000000">
      <w:pPr>
        <w:widowControl w:val="0"/>
        <w:spacing w:line="360" w:lineRule="auto"/>
        <w:jc w:val="both"/>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12B62E58" wp14:editId="721CA28C">
            <wp:extent cx="5731200" cy="5207000"/>
            <wp:effectExtent l="0" t="0" r="0" b="0"/>
            <wp:docPr id="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0"/>
                    <a:srcRect t="8" b="8"/>
                    <a:stretch>
                      <a:fillRect/>
                    </a:stretch>
                  </pic:blipFill>
                  <pic:spPr>
                    <a:xfrm>
                      <a:off x="0" y="0"/>
                      <a:ext cx="5731200" cy="5207000"/>
                    </a:xfrm>
                    <a:prstGeom prst="rect">
                      <a:avLst/>
                    </a:prstGeom>
                    <a:ln/>
                  </pic:spPr>
                </pic:pic>
              </a:graphicData>
            </a:graphic>
          </wp:inline>
        </w:drawing>
      </w:r>
    </w:p>
    <w:p w14:paraId="6130CD27" w14:textId="77777777" w:rsidR="002C392D" w:rsidRDefault="002C392D">
      <w:pPr>
        <w:widowControl w:val="0"/>
        <w:jc w:val="both"/>
        <w:rPr>
          <w:rFonts w:ascii="Times New Roman" w:eastAsia="Times New Roman" w:hAnsi="Times New Roman" w:cs="Times New Roman"/>
        </w:rPr>
      </w:pPr>
    </w:p>
    <w:p w14:paraId="283B3A85" w14:textId="77777777" w:rsidR="002C392D" w:rsidRDefault="00000000">
      <w:pPr>
        <w:widowControl w:val="0"/>
        <w:jc w:val="both"/>
        <w:rPr>
          <w:rFonts w:ascii="Times New Roman" w:eastAsia="Times New Roman" w:hAnsi="Times New Roman" w:cs="Times New Roman"/>
        </w:rPr>
      </w:pPr>
      <w:r>
        <w:rPr>
          <w:rFonts w:ascii="Times New Roman" w:eastAsia="Times New Roman" w:hAnsi="Times New Roman" w:cs="Times New Roman"/>
          <w:b/>
        </w:rPr>
        <w:t xml:space="preserve">Supplementary Figure S3. Genetic correlations between JIA and other traits at the genome- and transcriptome-wide levels. </w:t>
      </w:r>
      <w:r>
        <w:rPr>
          <w:rFonts w:ascii="Times New Roman" w:eastAsia="Times New Roman" w:hAnsi="Times New Roman" w:cs="Times New Roman"/>
        </w:rPr>
        <w:t>AID-like and non-AID-like traits were compared with JIA. The range of genetic correlation coefficient and FDR values are represented by a color bar and symbol size, respectively. The shape of the symbol indicates the significance of the corresponding correlation. (</w:t>
      </w:r>
      <w:r>
        <w:rPr>
          <w:rFonts w:ascii="Times New Roman" w:eastAsia="Times New Roman" w:hAnsi="Times New Roman" w:cs="Times New Roman"/>
          <w:b/>
        </w:rPr>
        <w:t>A</w:t>
      </w:r>
      <w:r>
        <w:rPr>
          <w:rFonts w:ascii="Times New Roman" w:eastAsia="Times New Roman" w:hAnsi="Times New Roman" w:cs="Times New Roman"/>
        </w:rPr>
        <w:t>) Genetic correlations between JIA and other traits at the genome-wide level. (</w:t>
      </w:r>
      <w:r>
        <w:rPr>
          <w:rFonts w:ascii="Times New Roman" w:eastAsia="Times New Roman" w:hAnsi="Times New Roman" w:cs="Times New Roman"/>
          <w:b/>
        </w:rPr>
        <w:t>B</w:t>
      </w:r>
      <w:r>
        <w:rPr>
          <w:rFonts w:ascii="Times New Roman" w:eastAsia="Times New Roman" w:hAnsi="Times New Roman" w:cs="Times New Roman"/>
        </w:rPr>
        <w:t>) Genetic correlations between JIA and other traits at the transcriptome-wide level, based on the TWAS results. S stands for significant and NS for non-significant.</w:t>
      </w:r>
    </w:p>
    <w:p w14:paraId="0340C2A2" w14:textId="77777777" w:rsidR="002C392D" w:rsidRDefault="002C392D">
      <w:pPr>
        <w:spacing w:line="240" w:lineRule="auto"/>
        <w:jc w:val="both"/>
        <w:rPr>
          <w:rFonts w:ascii="Times New Roman" w:eastAsia="Times New Roman" w:hAnsi="Times New Roman" w:cs="Times New Roman"/>
          <w:b/>
          <w:sz w:val="28"/>
          <w:szCs w:val="28"/>
        </w:rPr>
      </w:pPr>
    </w:p>
    <w:p w14:paraId="66776ACF" w14:textId="77777777" w:rsidR="002C392D" w:rsidRDefault="002C392D">
      <w:pPr>
        <w:spacing w:line="240" w:lineRule="auto"/>
        <w:jc w:val="both"/>
        <w:rPr>
          <w:rFonts w:ascii="Times New Roman" w:eastAsia="Times New Roman" w:hAnsi="Times New Roman" w:cs="Times New Roman"/>
          <w:b/>
          <w:sz w:val="28"/>
          <w:szCs w:val="28"/>
        </w:rPr>
      </w:pPr>
    </w:p>
    <w:p w14:paraId="0E497C9E" w14:textId="77777777" w:rsidR="002C392D" w:rsidRDefault="002C392D">
      <w:pPr>
        <w:spacing w:line="240" w:lineRule="auto"/>
        <w:jc w:val="both"/>
        <w:rPr>
          <w:rFonts w:ascii="Times New Roman" w:eastAsia="Times New Roman" w:hAnsi="Times New Roman" w:cs="Times New Roman"/>
          <w:b/>
          <w:sz w:val="28"/>
          <w:szCs w:val="28"/>
        </w:rPr>
      </w:pPr>
    </w:p>
    <w:p w14:paraId="343E75B7" w14:textId="77777777" w:rsidR="002C392D" w:rsidRDefault="002C392D">
      <w:pPr>
        <w:spacing w:line="240" w:lineRule="auto"/>
        <w:jc w:val="both"/>
        <w:rPr>
          <w:rFonts w:ascii="Times New Roman" w:eastAsia="Times New Roman" w:hAnsi="Times New Roman" w:cs="Times New Roman"/>
          <w:b/>
          <w:sz w:val="28"/>
          <w:szCs w:val="28"/>
        </w:rPr>
      </w:pPr>
    </w:p>
    <w:p w14:paraId="5B36CFC9" w14:textId="77777777" w:rsidR="002C392D" w:rsidRDefault="002C392D">
      <w:pPr>
        <w:spacing w:line="240" w:lineRule="auto"/>
        <w:jc w:val="both"/>
        <w:rPr>
          <w:rFonts w:ascii="Times New Roman" w:eastAsia="Times New Roman" w:hAnsi="Times New Roman" w:cs="Times New Roman"/>
          <w:b/>
          <w:sz w:val="28"/>
          <w:szCs w:val="28"/>
        </w:rPr>
      </w:pPr>
    </w:p>
    <w:p w14:paraId="60CE37D8" w14:textId="77777777" w:rsidR="002C392D" w:rsidRDefault="002C392D">
      <w:pPr>
        <w:spacing w:line="240" w:lineRule="auto"/>
        <w:jc w:val="both"/>
        <w:rPr>
          <w:rFonts w:ascii="Times New Roman" w:eastAsia="Times New Roman" w:hAnsi="Times New Roman" w:cs="Times New Roman"/>
          <w:b/>
          <w:sz w:val="28"/>
          <w:szCs w:val="28"/>
        </w:rPr>
      </w:pPr>
    </w:p>
    <w:p w14:paraId="624153E6" w14:textId="77777777" w:rsidR="002C392D" w:rsidRDefault="002C392D">
      <w:pPr>
        <w:spacing w:line="240" w:lineRule="auto"/>
        <w:jc w:val="both"/>
        <w:rPr>
          <w:rFonts w:ascii="Times New Roman" w:eastAsia="Times New Roman" w:hAnsi="Times New Roman" w:cs="Times New Roman"/>
          <w:b/>
          <w:sz w:val="24"/>
          <w:szCs w:val="24"/>
        </w:rPr>
      </w:pPr>
    </w:p>
    <w:p w14:paraId="7F3C971C" w14:textId="77777777" w:rsidR="002C392D" w:rsidRDefault="002C392D">
      <w:pPr>
        <w:spacing w:line="240" w:lineRule="auto"/>
        <w:jc w:val="both"/>
        <w:rPr>
          <w:rFonts w:ascii="Times New Roman" w:eastAsia="Times New Roman" w:hAnsi="Times New Roman" w:cs="Times New Roman"/>
          <w:b/>
        </w:rPr>
      </w:pPr>
    </w:p>
    <w:p w14:paraId="527E1757" w14:textId="77777777" w:rsidR="002C392D" w:rsidRDefault="002C392D">
      <w:pPr>
        <w:spacing w:line="240" w:lineRule="auto"/>
        <w:jc w:val="both"/>
        <w:rPr>
          <w:rFonts w:ascii="Times New Roman" w:eastAsia="Times New Roman" w:hAnsi="Times New Roman" w:cs="Times New Roman"/>
          <w:b/>
        </w:rPr>
      </w:pPr>
    </w:p>
    <w:p w14:paraId="4A523C59" w14:textId="77777777" w:rsidR="002C392D" w:rsidRDefault="002C392D">
      <w:pPr>
        <w:spacing w:line="240" w:lineRule="auto"/>
        <w:jc w:val="both"/>
        <w:rPr>
          <w:rFonts w:ascii="Times New Roman" w:eastAsia="Times New Roman" w:hAnsi="Times New Roman" w:cs="Times New Roman"/>
          <w:b/>
        </w:rPr>
      </w:pPr>
    </w:p>
    <w:p w14:paraId="4FE1F0B5" w14:textId="77777777" w:rsidR="002C392D" w:rsidRDefault="002C392D">
      <w:pPr>
        <w:spacing w:line="240" w:lineRule="auto"/>
        <w:jc w:val="both"/>
        <w:rPr>
          <w:rFonts w:ascii="Times New Roman" w:eastAsia="Times New Roman" w:hAnsi="Times New Roman" w:cs="Times New Roman"/>
          <w:b/>
        </w:rPr>
      </w:pPr>
    </w:p>
    <w:p w14:paraId="29DC2972" w14:textId="77777777" w:rsidR="002C392D" w:rsidRDefault="00000000">
      <w:pPr>
        <w:spacing w:line="240" w:lineRule="auto"/>
        <w:jc w:val="both"/>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114300" distB="114300" distL="114300" distR="114300" wp14:anchorId="4F94BC5F" wp14:editId="180B7323">
            <wp:extent cx="5731200" cy="19050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31200" cy="1905000"/>
                    </a:xfrm>
                    <a:prstGeom prst="rect">
                      <a:avLst/>
                    </a:prstGeom>
                    <a:ln/>
                  </pic:spPr>
                </pic:pic>
              </a:graphicData>
            </a:graphic>
          </wp:inline>
        </w:drawing>
      </w:r>
    </w:p>
    <w:p w14:paraId="7E2EBE25" w14:textId="77777777" w:rsidR="002C392D" w:rsidRDefault="00000000">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4"/>
          <w:szCs w:val="24"/>
        </w:rPr>
        <w:t xml:space="preserve">Supplementary Figure S4. Heritability enrichment analysis using tissue or cell type expression. </w:t>
      </w:r>
      <w:r>
        <w:rPr>
          <w:rFonts w:ascii="Times New Roman" w:eastAsia="Times New Roman" w:hAnsi="Times New Roman" w:cs="Times New Roman"/>
        </w:rPr>
        <w:t>Linkage disequilibrium (LD) score regression in specifically expressed genes (LD-SEG) analysis applied to JIA GWAS data. (</w:t>
      </w:r>
      <w:r>
        <w:rPr>
          <w:rFonts w:ascii="Times New Roman" w:eastAsia="Times New Roman" w:hAnsi="Times New Roman" w:cs="Times New Roman"/>
          <w:b/>
        </w:rPr>
        <w:t>A</w:t>
      </w:r>
      <w:r>
        <w:rPr>
          <w:rFonts w:ascii="Times New Roman" w:eastAsia="Times New Roman" w:hAnsi="Times New Roman" w:cs="Times New Roman"/>
        </w:rPr>
        <w:t xml:space="preserve">) The enrichment results of LD-SEG analysis using </w:t>
      </w:r>
      <w:proofErr w:type="spellStart"/>
      <w:r>
        <w:rPr>
          <w:rFonts w:ascii="Times New Roman" w:eastAsia="Times New Roman" w:hAnsi="Times New Roman" w:cs="Times New Roman"/>
        </w:rPr>
        <w:t>GTEx</w:t>
      </w:r>
      <w:proofErr w:type="spellEnd"/>
      <w:r>
        <w:rPr>
          <w:rFonts w:ascii="Times New Roman" w:eastAsia="Times New Roman" w:hAnsi="Times New Roman" w:cs="Times New Roman"/>
        </w:rPr>
        <w:t xml:space="preserve"> data. (</w:t>
      </w:r>
      <w:r>
        <w:rPr>
          <w:rFonts w:ascii="Times New Roman" w:eastAsia="Times New Roman" w:hAnsi="Times New Roman" w:cs="Times New Roman"/>
          <w:b/>
        </w:rPr>
        <w:t>B</w:t>
      </w:r>
      <w:r>
        <w:rPr>
          <w:rFonts w:ascii="Times New Roman" w:eastAsia="Times New Roman" w:hAnsi="Times New Roman" w:cs="Times New Roman"/>
        </w:rPr>
        <w:t>) The enrichment results of LD-SEG analysis using Franke lab data. The red dotted lines represent a significant threshold based on the Bonferroni correction. P-values of 9.43 × 10</w:t>
      </w:r>
      <w:r>
        <w:rPr>
          <w:rFonts w:ascii="Gungsuh" w:eastAsia="Gungsuh" w:hAnsi="Gungsuh" w:cs="Gungsuh"/>
          <w:vertAlign w:val="superscript"/>
        </w:rPr>
        <w:t xml:space="preserve">−04 </w:t>
      </w:r>
      <w:r>
        <w:rPr>
          <w:rFonts w:ascii="Times New Roman" w:eastAsia="Times New Roman" w:hAnsi="Times New Roman" w:cs="Times New Roman"/>
        </w:rPr>
        <w:t>(0.05/53) and 3.28 × 10</w:t>
      </w:r>
      <w:r>
        <w:rPr>
          <w:rFonts w:ascii="Gungsuh" w:eastAsia="Gungsuh" w:hAnsi="Gungsuh" w:cs="Gungsuh"/>
          <w:vertAlign w:val="superscript"/>
        </w:rPr>
        <w:t xml:space="preserve">−04 </w:t>
      </w:r>
      <w:r>
        <w:rPr>
          <w:rFonts w:ascii="Times New Roman" w:eastAsia="Times New Roman" w:hAnsi="Times New Roman" w:cs="Times New Roman"/>
        </w:rPr>
        <w:t xml:space="preserve">(0.05/152) are the significant thresholds of the results from </w:t>
      </w:r>
      <w:proofErr w:type="spellStart"/>
      <w:r>
        <w:rPr>
          <w:rFonts w:ascii="Times New Roman" w:eastAsia="Times New Roman" w:hAnsi="Times New Roman" w:cs="Times New Roman"/>
        </w:rPr>
        <w:t>GTEx</w:t>
      </w:r>
      <w:proofErr w:type="spellEnd"/>
      <w:r>
        <w:rPr>
          <w:rFonts w:ascii="Times New Roman" w:eastAsia="Times New Roman" w:hAnsi="Times New Roman" w:cs="Times New Roman"/>
        </w:rPr>
        <w:t xml:space="preserve"> and Franke lab data, respectively.</w:t>
      </w:r>
    </w:p>
    <w:p w14:paraId="6241996F" w14:textId="77777777" w:rsidR="002C392D" w:rsidRDefault="00000000">
      <w:pPr>
        <w:spacing w:line="240" w:lineRule="auto"/>
        <w:jc w:val="both"/>
        <w:rPr>
          <w:rFonts w:ascii="Times New Roman" w:eastAsia="Times New Roman" w:hAnsi="Times New Roman" w:cs="Times New Roman"/>
          <w:b/>
        </w:rPr>
      </w:pPr>
      <w:r>
        <w:br w:type="page"/>
      </w:r>
    </w:p>
    <w:p w14:paraId="09A82B3E" w14:textId="77777777" w:rsidR="002C392D" w:rsidRDefault="00000000">
      <w:pPr>
        <w:spacing w:line="240" w:lineRule="auto"/>
        <w:jc w:val="both"/>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114300" distB="114300" distL="114300" distR="114300" wp14:anchorId="0A4CCB67" wp14:editId="3F23DF0C">
            <wp:extent cx="5731200" cy="2146300"/>
            <wp:effectExtent l="0" t="0" r="0" b="0"/>
            <wp:docPr id="1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2"/>
                    <a:srcRect/>
                    <a:stretch>
                      <a:fillRect/>
                    </a:stretch>
                  </pic:blipFill>
                  <pic:spPr>
                    <a:xfrm>
                      <a:off x="0" y="0"/>
                      <a:ext cx="5731200" cy="2146300"/>
                    </a:xfrm>
                    <a:prstGeom prst="rect">
                      <a:avLst/>
                    </a:prstGeom>
                    <a:ln/>
                  </pic:spPr>
                </pic:pic>
              </a:graphicData>
            </a:graphic>
          </wp:inline>
        </w:drawing>
      </w:r>
    </w:p>
    <w:p w14:paraId="138F9CED" w14:textId="77777777" w:rsidR="002C392D"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b/>
          <w:sz w:val="24"/>
          <w:szCs w:val="24"/>
        </w:rPr>
        <w:t>Supplementary Figure S5. Heritability enrichment analysis using immune cell type expression.</w:t>
      </w:r>
      <w:r>
        <w:rPr>
          <w:rFonts w:ascii="Times New Roman" w:eastAsia="Times New Roman" w:hAnsi="Times New Roman" w:cs="Times New Roman"/>
        </w:rPr>
        <w:t xml:space="preserve"> The enrichment results of LD-SEG analysis using </w:t>
      </w:r>
      <w:proofErr w:type="spellStart"/>
      <w:r>
        <w:rPr>
          <w:rFonts w:ascii="Times New Roman" w:eastAsia="Times New Roman" w:hAnsi="Times New Roman" w:cs="Times New Roman"/>
        </w:rPr>
        <w:t>ImmGen</w:t>
      </w:r>
      <w:proofErr w:type="spellEnd"/>
      <w:r>
        <w:rPr>
          <w:rFonts w:ascii="Times New Roman" w:eastAsia="Times New Roman" w:hAnsi="Times New Roman" w:cs="Times New Roman"/>
        </w:rPr>
        <w:t xml:space="preserve"> datasets. The black dotted line represents a significant threshold based on the Bonferroni-corrected P &lt; 1.71 × 10</w:t>
      </w:r>
      <w:r>
        <w:rPr>
          <w:rFonts w:ascii="Gungsuh" w:eastAsia="Gungsuh" w:hAnsi="Gungsuh" w:cs="Gungsuh"/>
          <w:vertAlign w:val="superscript"/>
        </w:rPr>
        <w:t>−04</w:t>
      </w:r>
      <w:r>
        <w:rPr>
          <w:rFonts w:ascii="Times New Roman" w:eastAsia="Times New Roman" w:hAnsi="Times New Roman" w:cs="Times New Roman"/>
        </w:rPr>
        <w:t xml:space="preserve"> (0.05/292).</w:t>
      </w:r>
    </w:p>
    <w:p w14:paraId="0783FACE" w14:textId="77777777" w:rsidR="002C392D" w:rsidRDefault="00000000">
      <w:pPr>
        <w:spacing w:line="240" w:lineRule="auto"/>
        <w:jc w:val="both"/>
        <w:rPr>
          <w:rFonts w:ascii="Times New Roman" w:eastAsia="Times New Roman" w:hAnsi="Times New Roman" w:cs="Times New Roman"/>
          <w:b/>
        </w:rPr>
      </w:pPr>
      <w:r>
        <w:br w:type="page"/>
      </w:r>
    </w:p>
    <w:p w14:paraId="6D3967FB" w14:textId="77777777" w:rsidR="002C392D" w:rsidRDefault="002C392D">
      <w:pPr>
        <w:spacing w:line="240" w:lineRule="auto"/>
        <w:jc w:val="both"/>
        <w:rPr>
          <w:rFonts w:ascii="Times New Roman" w:eastAsia="Times New Roman" w:hAnsi="Times New Roman" w:cs="Times New Roman"/>
          <w:b/>
        </w:rPr>
      </w:pPr>
    </w:p>
    <w:p w14:paraId="4E56FC66" w14:textId="77777777" w:rsidR="002C392D" w:rsidRDefault="00000000">
      <w:pPr>
        <w:spacing w:line="240" w:lineRule="auto"/>
        <w:jc w:val="both"/>
        <w:rPr>
          <w:rFonts w:ascii="Times New Roman" w:eastAsia="Times New Roman" w:hAnsi="Times New Roman" w:cs="Times New Roman"/>
          <w:b/>
        </w:rPr>
      </w:pPr>
      <w:r>
        <w:rPr>
          <w:rFonts w:ascii="Times New Roman" w:eastAsia="Times New Roman" w:hAnsi="Times New Roman" w:cs="Times New Roman"/>
          <w:b/>
          <w:noProof/>
        </w:rPr>
        <w:drawing>
          <wp:inline distT="114300" distB="114300" distL="114300" distR="114300" wp14:anchorId="5E30A4C7" wp14:editId="0B2E42D5">
            <wp:extent cx="5731200" cy="3937000"/>
            <wp:effectExtent l="0" t="0" r="0" b="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731200" cy="3937000"/>
                    </a:xfrm>
                    <a:prstGeom prst="rect">
                      <a:avLst/>
                    </a:prstGeom>
                    <a:ln/>
                  </pic:spPr>
                </pic:pic>
              </a:graphicData>
            </a:graphic>
          </wp:inline>
        </w:drawing>
      </w:r>
    </w:p>
    <w:p w14:paraId="7A1DA467" w14:textId="77777777" w:rsidR="002C392D"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b/>
          <w:sz w:val="24"/>
          <w:szCs w:val="24"/>
        </w:rPr>
        <w:t>Supplementary Figure S6. Heritability enrichment analysis using epigenetic markers.</w:t>
      </w:r>
      <w:r>
        <w:rPr>
          <w:rFonts w:ascii="Times New Roman" w:eastAsia="Times New Roman" w:hAnsi="Times New Roman" w:cs="Times New Roman"/>
        </w:rPr>
        <w:t xml:space="preserve">  The enrichment results of LD-SEG analysis using epigenetic markers of different tissue types. The red dotted lines represent a significant threshold based on the Bonferroni-corrected P-value &lt; 1.16 × 10</w:t>
      </w:r>
      <w:r>
        <w:rPr>
          <w:rFonts w:ascii="Gungsuh" w:eastAsia="Gungsuh" w:hAnsi="Gungsuh" w:cs="Gungsuh"/>
          <w:vertAlign w:val="superscript"/>
        </w:rPr>
        <w:t>−04</w:t>
      </w:r>
      <w:r>
        <w:rPr>
          <w:rFonts w:ascii="Times New Roman" w:eastAsia="Times New Roman" w:hAnsi="Times New Roman" w:cs="Times New Roman"/>
        </w:rPr>
        <w:t xml:space="preserve"> (0.05/431).</w:t>
      </w:r>
    </w:p>
    <w:p w14:paraId="5E38EAF8" w14:textId="77777777" w:rsidR="002C392D" w:rsidRDefault="002C392D">
      <w:pPr>
        <w:spacing w:line="240" w:lineRule="auto"/>
        <w:jc w:val="both"/>
        <w:rPr>
          <w:rFonts w:ascii="Times New Roman" w:eastAsia="Times New Roman" w:hAnsi="Times New Roman" w:cs="Times New Roman"/>
        </w:rPr>
      </w:pPr>
    </w:p>
    <w:p w14:paraId="489B0722" w14:textId="77777777" w:rsidR="002C392D" w:rsidRDefault="00000000">
      <w:pPr>
        <w:spacing w:line="240" w:lineRule="auto"/>
        <w:jc w:val="both"/>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114300" distB="114300" distL="114300" distR="114300" wp14:anchorId="08C6A55F" wp14:editId="47C2E5A2">
            <wp:extent cx="5289550" cy="528076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289550" cy="5280763"/>
                    </a:xfrm>
                    <a:prstGeom prst="rect">
                      <a:avLst/>
                    </a:prstGeom>
                    <a:ln/>
                  </pic:spPr>
                </pic:pic>
              </a:graphicData>
            </a:graphic>
          </wp:inline>
        </w:drawing>
      </w:r>
    </w:p>
    <w:p w14:paraId="7E6D716C" w14:textId="77777777" w:rsidR="002C392D"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b/>
          <w:sz w:val="24"/>
          <w:szCs w:val="24"/>
        </w:rPr>
        <w:t xml:space="preserve">Supplementary Figure S7. </w:t>
      </w:r>
      <w:r>
        <w:rPr>
          <w:rFonts w:ascii="Times New Roman" w:eastAsia="Times New Roman" w:hAnsi="Times New Roman" w:cs="Times New Roman"/>
        </w:rPr>
        <w:t xml:space="preserve"> </w:t>
      </w:r>
      <w:r>
        <w:rPr>
          <w:rFonts w:ascii="Times New Roman" w:eastAsia="Times New Roman" w:hAnsi="Times New Roman" w:cs="Times New Roman"/>
          <w:b/>
        </w:rPr>
        <w:t>Estimation of the proportion of heritability mediated by the gene expression levels (</w:t>
      </w:r>
      <m:oMath>
        <m:sSubSup>
          <m:sSubSupPr>
            <m:ctrlPr>
              <w:rPr>
                <w:rFonts w:ascii="Times New Roman" w:eastAsia="Times New Roman" w:hAnsi="Times New Roman" w:cs="Times New Roman"/>
                <w:b/>
              </w:rPr>
            </m:ctrlPr>
          </m:sSubSupPr>
          <m:e>
            <m:r>
              <m:rPr>
                <m:sty m:val="bi"/>
              </m:rPr>
              <w:rPr>
                <w:rFonts w:ascii="Times New Roman" w:eastAsia="Times New Roman" w:hAnsi="Times New Roman" w:cs="Times New Roman"/>
              </w:rPr>
              <m:t>h</m:t>
            </m:r>
          </m:e>
          <m:sub>
            <m:r>
              <m:rPr>
                <m:sty m:val="bi"/>
              </m:rPr>
              <w:rPr>
                <w:rFonts w:ascii="Times New Roman" w:eastAsia="Times New Roman" w:hAnsi="Times New Roman" w:cs="Times New Roman"/>
              </w:rPr>
              <m:t>med</m:t>
            </m:r>
          </m:sub>
          <m:sup>
            <m:r>
              <m:rPr>
                <m:sty m:val="bi"/>
              </m:rPr>
              <w:rPr>
                <w:rFonts w:ascii="Times New Roman" w:eastAsia="Times New Roman" w:hAnsi="Times New Roman" w:cs="Times New Roman"/>
              </w:rPr>
              <m:t>2</m:t>
            </m:r>
          </m:sup>
        </m:sSubSup>
        <m:r>
          <m:rPr>
            <m:sty m:val="bi"/>
          </m:rPr>
          <w:rPr>
            <w:rFonts w:ascii="Times New Roman" w:eastAsia="Times New Roman" w:hAnsi="Times New Roman" w:cs="Times New Roman"/>
          </w:rPr>
          <m:t>/</m:t>
        </m:r>
        <m:sSubSup>
          <m:sSubSupPr>
            <m:ctrlPr>
              <w:rPr>
                <w:rFonts w:ascii="Times New Roman" w:eastAsia="Times New Roman" w:hAnsi="Times New Roman" w:cs="Times New Roman"/>
                <w:b/>
              </w:rPr>
            </m:ctrlPr>
          </m:sSubSupPr>
          <m:e>
            <m:r>
              <m:rPr>
                <m:sty m:val="bi"/>
              </m:rPr>
              <w:rPr>
                <w:rFonts w:ascii="Times New Roman" w:eastAsia="Times New Roman" w:hAnsi="Times New Roman" w:cs="Times New Roman"/>
              </w:rPr>
              <m:t>h</m:t>
            </m:r>
          </m:e>
          <m:sub>
            <m:r>
              <m:rPr>
                <m:sty m:val="bi"/>
              </m:rPr>
              <w:rPr>
                <w:rFonts w:ascii="Times New Roman" w:eastAsia="Times New Roman" w:hAnsi="Times New Roman" w:cs="Times New Roman"/>
              </w:rPr>
              <m:t>g</m:t>
            </m:r>
          </m:sub>
          <m:sup>
            <m:r>
              <m:rPr>
                <m:sty m:val="bi"/>
              </m:rPr>
              <w:rPr>
                <w:rFonts w:ascii="Times New Roman" w:eastAsia="Times New Roman" w:hAnsi="Times New Roman" w:cs="Times New Roman"/>
              </w:rPr>
              <m:t>2</m:t>
            </m:r>
          </m:sup>
        </m:sSubSup>
      </m:oMath>
      <w:r>
        <w:rPr>
          <w:rFonts w:ascii="Times New Roman" w:eastAsia="Times New Roman" w:hAnsi="Times New Roman" w:cs="Times New Roman"/>
          <w:b/>
        </w:rPr>
        <w:t>).</w:t>
      </w:r>
      <w:r>
        <w:rPr>
          <w:rFonts w:ascii="Times New Roman" w:eastAsia="Times New Roman" w:hAnsi="Times New Roman" w:cs="Times New Roman"/>
        </w:rPr>
        <w:t xml:space="preserve"> The bar plots show the results of mediated expression score regression (MESC) using </w:t>
      </w:r>
      <w:proofErr w:type="spellStart"/>
      <w:r>
        <w:rPr>
          <w:rFonts w:ascii="Times New Roman" w:eastAsia="Times New Roman" w:hAnsi="Times New Roman" w:cs="Times New Roman"/>
        </w:rPr>
        <w:t>GTEx</w:t>
      </w:r>
      <w:proofErr w:type="spellEnd"/>
      <w:r>
        <w:rPr>
          <w:rFonts w:ascii="Times New Roman" w:eastAsia="Times New Roman" w:hAnsi="Times New Roman" w:cs="Times New Roman"/>
        </w:rPr>
        <w:t xml:space="preserve"> v8 and </w:t>
      </w:r>
      <w:proofErr w:type="spellStart"/>
      <w:r>
        <w:rPr>
          <w:rFonts w:ascii="Times New Roman" w:eastAsia="Times New Roman" w:hAnsi="Times New Roman" w:cs="Times New Roman"/>
        </w:rPr>
        <w:t>eQTLGen</w:t>
      </w:r>
      <w:proofErr w:type="spellEnd"/>
      <w:r>
        <w:rPr>
          <w:rFonts w:ascii="Times New Roman" w:eastAsia="Times New Roman" w:hAnsi="Times New Roman" w:cs="Times New Roman"/>
        </w:rPr>
        <w:t xml:space="preserve"> data. Error bars indicate jackknife standard errors.</w:t>
      </w:r>
    </w:p>
    <w:p w14:paraId="47A546C7" w14:textId="77777777" w:rsidR="002C392D" w:rsidRDefault="002C392D">
      <w:pPr>
        <w:spacing w:line="240" w:lineRule="auto"/>
        <w:jc w:val="both"/>
        <w:rPr>
          <w:rFonts w:ascii="Times New Roman" w:eastAsia="Times New Roman" w:hAnsi="Times New Roman" w:cs="Times New Roman"/>
        </w:rPr>
      </w:pPr>
    </w:p>
    <w:p w14:paraId="2A991497" w14:textId="77777777" w:rsidR="002C392D"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114300" distB="114300" distL="114300" distR="114300" wp14:anchorId="1AF05391" wp14:editId="10C2A1BE">
            <wp:extent cx="5033963" cy="7049220"/>
            <wp:effectExtent l="0" t="0" r="0" b="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033963" cy="7049220"/>
                    </a:xfrm>
                    <a:prstGeom prst="rect">
                      <a:avLst/>
                    </a:prstGeom>
                    <a:ln/>
                  </pic:spPr>
                </pic:pic>
              </a:graphicData>
            </a:graphic>
          </wp:inline>
        </w:drawing>
      </w:r>
    </w:p>
    <w:p w14:paraId="4DB7A598" w14:textId="77777777" w:rsidR="002C392D"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b/>
          <w:sz w:val="24"/>
          <w:szCs w:val="24"/>
        </w:rPr>
        <w:t>Supplementary Figure S8. Consensus frequencies of HLA allele types in healthy control subjects and JIA patients.</w:t>
      </w:r>
      <w:r>
        <w:rPr>
          <w:rFonts w:ascii="Times New Roman" w:eastAsia="Times New Roman" w:hAnsi="Times New Roman" w:cs="Times New Roman"/>
          <w:b/>
        </w:rPr>
        <w:t xml:space="preserve"> </w:t>
      </w:r>
      <w:r>
        <w:rPr>
          <w:rFonts w:ascii="Times New Roman" w:eastAsia="Times New Roman" w:hAnsi="Times New Roman" w:cs="Times New Roman"/>
        </w:rPr>
        <w:t>(</w:t>
      </w:r>
      <w:r>
        <w:rPr>
          <w:rFonts w:ascii="Times New Roman" w:eastAsia="Times New Roman" w:hAnsi="Times New Roman" w:cs="Times New Roman"/>
          <w:b/>
        </w:rPr>
        <w:t>A</w:t>
      </w:r>
      <w:r>
        <w:rPr>
          <w:rFonts w:ascii="Times New Roman" w:eastAsia="Times New Roman" w:hAnsi="Times New Roman" w:cs="Times New Roman"/>
        </w:rPr>
        <w:t>) Bar plots showing the consensus frequencies of HLA allele types at HLA class I loci. (</w:t>
      </w:r>
      <w:r>
        <w:rPr>
          <w:rFonts w:ascii="Times New Roman" w:eastAsia="Times New Roman" w:hAnsi="Times New Roman" w:cs="Times New Roman"/>
          <w:b/>
        </w:rPr>
        <w:t>B</w:t>
      </w:r>
      <w:r>
        <w:rPr>
          <w:rFonts w:ascii="Times New Roman" w:eastAsia="Times New Roman" w:hAnsi="Times New Roman" w:cs="Times New Roman"/>
        </w:rPr>
        <w:t>) Bar plots showing the consensus frequencies of HLA allele types at HLA class II loci. The x- and y-axis indicate the names and frequencies of HLA allele types, respectively. The names of HLA types detected only in the JIA group are marked in red. The names of significantly different HLA types observed in the healthy control and JIA groups are represented in bold (P &lt; 0.05).</w:t>
      </w:r>
    </w:p>
    <w:p w14:paraId="19588FAA" w14:textId="77777777" w:rsidR="002C392D" w:rsidRDefault="002C392D">
      <w:pPr>
        <w:spacing w:line="240" w:lineRule="auto"/>
        <w:jc w:val="both"/>
        <w:rPr>
          <w:rFonts w:ascii="Times New Roman" w:eastAsia="Times New Roman" w:hAnsi="Times New Roman" w:cs="Times New Roman"/>
          <w:b/>
          <w:sz w:val="28"/>
          <w:szCs w:val="28"/>
        </w:rPr>
      </w:pPr>
    </w:p>
    <w:p w14:paraId="758C1F42" w14:textId="77777777" w:rsidR="002C392D" w:rsidRDefault="002C392D">
      <w:pPr>
        <w:spacing w:line="240" w:lineRule="auto"/>
        <w:jc w:val="both"/>
        <w:rPr>
          <w:rFonts w:ascii="Times New Roman" w:eastAsia="Times New Roman" w:hAnsi="Times New Roman" w:cs="Times New Roman"/>
          <w:b/>
          <w:sz w:val="28"/>
          <w:szCs w:val="28"/>
        </w:rPr>
      </w:pPr>
    </w:p>
    <w:p w14:paraId="1B981127" w14:textId="77777777" w:rsidR="002C392D" w:rsidRDefault="00000000">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114300" distB="114300" distL="114300" distR="114300" wp14:anchorId="15C3B51E" wp14:editId="1007F121">
            <wp:extent cx="5157788" cy="7222616"/>
            <wp:effectExtent l="0" t="0" r="0" b="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157788" cy="7222616"/>
                    </a:xfrm>
                    <a:prstGeom prst="rect">
                      <a:avLst/>
                    </a:prstGeom>
                    <a:ln/>
                  </pic:spPr>
                </pic:pic>
              </a:graphicData>
            </a:graphic>
          </wp:inline>
        </w:drawing>
      </w:r>
    </w:p>
    <w:p w14:paraId="33D6C77B" w14:textId="77777777" w:rsidR="002C392D" w:rsidRDefault="002C392D">
      <w:pPr>
        <w:spacing w:line="240" w:lineRule="auto"/>
        <w:jc w:val="center"/>
        <w:rPr>
          <w:rFonts w:ascii="Times New Roman" w:eastAsia="Times New Roman" w:hAnsi="Times New Roman" w:cs="Times New Roman"/>
          <w:b/>
          <w:sz w:val="28"/>
          <w:szCs w:val="28"/>
        </w:rPr>
      </w:pPr>
    </w:p>
    <w:p w14:paraId="51AF8A02" w14:textId="77777777" w:rsidR="002C392D" w:rsidRDefault="00000000">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4"/>
          <w:szCs w:val="24"/>
        </w:rPr>
        <w:t>Supplementary Figure S9. Consensus frequencies of HLA allele types in healthy control subjects and JIA patients grouped by subtypes.</w:t>
      </w:r>
      <w:r>
        <w:rPr>
          <w:rFonts w:ascii="Times New Roman" w:eastAsia="Times New Roman" w:hAnsi="Times New Roman" w:cs="Times New Roman"/>
          <w:b/>
        </w:rPr>
        <w:t xml:space="preserve"> </w:t>
      </w:r>
      <w:r>
        <w:rPr>
          <w:rFonts w:ascii="Times New Roman" w:eastAsia="Times New Roman" w:hAnsi="Times New Roman" w:cs="Times New Roman"/>
        </w:rPr>
        <w:t>(</w:t>
      </w:r>
      <w:r>
        <w:rPr>
          <w:rFonts w:ascii="Times New Roman" w:eastAsia="Times New Roman" w:hAnsi="Times New Roman" w:cs="Times New Roman"/>
          <w:b/>
        </w:rPr>
        <w:t>A</w:t>
      </w:r>
      <w:r>
        <w:rPr>
          <w:rFonts w:ascii="Times New Roman" w:eastAsia="Times New Roman" w:hAnsi="Times New Roman" w:cs="Times New Roman"/>
        </w:rPr>
        <w:t>) Bar plots showing the consensus frequencies of HLA allele types at HLA class I loci. (</w:t>
      </w:r>
      <w:r>
        <w:rPr>
          <w:rFonts w:ascii="Times New Roman" w:eastAsia="Times New Roman" w:hAnsi="Times New Roman" w:cs="Times New Roman"/>
          <w:b/>
        </w:rPr>
        <w:t>B</w:t>
      </w:r>
      <w:r>
        <w:rPr>
          <w:rFonts w:ascii="Times New Roman" w:eastAsia="Times New Roman" w:hAnsi="Times New Roman" w:cs="Times New Roman"/>
        </w:rPr>
        <w:t>) Bar plots showing the consensus frequencies of HLA allele types at HLA class II loci. The x- and y-axis indicate the names and frequencies of HLA allele types, respectively. The names of significantly different HLA types observed in the healthy control and 3 JIA subtype groups are represented in bold (P &lt; 0.05).</w:t>
      </w:r>
    </w:p>
    <w:p w14:paraId="564E3DC6" w14:textId="77777777" w:rsidR="002C392D" w:rsidRDefault="002C392D">
      <w:pPr>
        <w:spacing w:line="240" w:lineRule="auto"/>
        <w:jc w:val="center"/>
        <w:rPr>
          <w:rFonts w:ascii="Times New Roman" w:eastAsia="Times New Roman" w:hAnsi="Times New Roman" w:cs="Times New Roman"/>
          <w:b/>
          <w:sz w:val="28"/>
          <w:szCs w:val="28"/>
        </w:rPr>
      </w:pPr>
    </w:p>
    <w:p w14:paraId="12A4C6F9" w14:textId="77777777" w:rsidR="002C392D" w:rsidRDefault="002C392D">
      <w:pPr>
        <w:spacing w:line="240" w:lineRule="auto"/>
        <w:jc w:val="both"/>
        <w:rPr>
          <w:rFonts w:ascii="Times New Roman" w:eastAsia="Times New Roman" w:hAnsi="Times New Roman" w:cs="Times New Roman"/>
          <w:b/>
        </w:rPr>
      </w:pPr>
    </w:p>
    <w:p w14:paraId="56720377" w14:textId="77777777" w:rsidR="002C392D" w:rsidRDefault="00000000">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114300" distB="114300" distL="114300" distR="114300" wp14:anchorId="1BBA3F6E" wp14:editId="53201A87">
            <wp:extent cx="3511388" cy="4896905"/>
            <wp:effectExtent l="0" t="0" r="0" b="0"/>
            <wp:docPr id="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a:stretch>
                      <a:fillRect/>
                    </a:stretch>
                  </pic:blipFill>
                  <pic:spPr>
                    <a:xfrm>
                      <a:off x="0" y="0"/>
                      <a:ext cx="3511388" cy="4896905"/>
                    </a:xfrm>
                    <a:prstGeom prst="rect">
                      <a:avLst/>
                    </a:prstGeom>
                    <a:ln/>
                  </pic:spPr>
                </pic:pic>
              </a:graphicData>
            </a:graphic>
          </wp:inline>
        </w:drawing>
      </w:r>
    </w:p>
    <w:p w14:paraId="6EFBD13B" w14:textId="77777777" w:rsidR="002C392D" w:rsidRDefault="00000000">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4"/>
          <w:szCs w:val="24"/>
        </w:rPr>
        <w:t>Supplementary Figure S10. Boxplots showing the locus-specific expression levels of HLA class Ⅱ genes.</w:t>
      </w:r>
      <w:r>
        <w:rPr>
          <w:rFonts w:ascii="Times New Roman" w:eastAsia="Times New Roman" w:hAnsi="Times New Roman" w:cs="Times New Roman"/>
        </w:rPr>
        <w:t xml:space="preserve"> Boxplots showing the expression levels of HLA class Ⅱ genes, (</w:t>
      </w:r>
      <w:r>
        <w:rPr>
          <w:rFonts w:ascii="Times New Roman" w:eastAsia="Times New Roman" w:hAnsi="Times New Roman" w:cs="Times New Roman"/>
          <w:b/>
        </w:rPr>
        <w:t>A</w:t>
      </w:r>
      <w:r>
        <w:rPr>
          <w:rFonts w:ascii="Times New Roman" w:eastAsia="Times New Roman" w:hAnsi="Times New Roman" w:cs="Times New Roman"/>
        </w:rPr>
        <w:t xml:space="preserve">) </w:t>
      </w:r>
      <w:r>
        <w:rPr>
          <w:rFonts w:ascii="Times New Roman" w:eastAsia="Times New Roman" w:hAnsi="Times New Roman" w:cs="Times New Roman"/>
          <w:i/>
        </w:rPr>
        <w:t>DPA1</w:t>
      </w:r>
      <w:r>
        <w:rPr>
          <w:rFonts w:ascii="Times New Roman" w:eastAsia="Times New Roman" w:hAnsi="Times New Roman" w:cs="Times New Roman"/>
        </w:rPr>
        <w:t>,</w:t>
      </w:r>
      <w:r>
        <w:rPr>
          <w:rFonts w:ascii="Times New Roman" w:eastAsia="Times New Roman" w:hAnsi="Times New Roman" w:cs="Times New Roman"/>
          <w:i/>
        </w:rPr>
        <w:t xml:space="preserve"> </w:t>
      </w:r>
      <w:r>
        <w:rPr>
          <w:rFonts w:ascii="Times New Roman" w:eastAsia="Times New Roman" w:hAnsi="Times New Roman" w:cs="Times New Roman"/>
        </w:rPr>
        <w:t>(</w:t>
      </w:r>
      <w:r>
        <w:rPr>
          <w:rFonts w:ascii="Times New Roman" w:eastAsia="Times New Roman" w:hAnsi="Times New Roman" w:cs="Times New Roman"/>
          <w:b/>
        </w:rPr>
        <w:t>B</w:t>
      </w:r>
      <w:r>
        <w:rPr>
          <w:rFonts w:ascii="Times New Roman" w:eastAsia="Times New Roman" w:hAnsi="Times New Roman" w:cs="Times New Roman"/>
        </w:rPr>
        <w:t xml:space="preserve">) </w:t>
      </w:r>
      <w:r>
        <w:rPr>
          <w:rFonts w:ascii="Times New Roman" w:eastAsia="Times New Roman" w:hAnsi="Times New Roman" w:cs="Times New Roman"/>
          <w:i/>
        </w:rPr>
        <w:t>DPB1</w:t>
      </w:r>
      <w:r>
        <w:rPr>
          <w:rFonts w:ascii="Times New Roman" w:eastAsia="Times New Roman" w:hAnsi="Times New Roman" w:cs="Times New Roman"/>
        </w:rPr>
        <w:t>, (</w:t>
      </w:r>
      <w:r>
        <w:rPr>
          <w:rFonts w:ascii="Times New Roman" w:eastAsia="Times New Roman" w:hAnsi="Times New Roman" w:cs="Times New Roman"/>
          <w:b/>
        </w:rPr>
        <w:t>C</w:t>
      </w:r>
      <w:r>
        <w:rPr>
          <w:rFonts w:ascii="Times New Roman" w:eastAsia="Times New Roman" w:hAnsi="Times New Roman" w:cs="Times New Roman"/>
        </w:rPr>
        <w:t xml:space="preserve">) </w:t>
      </w:r>
      <w:r>
        <w:rPr>
          <w:rFonts w:ascii="Times New Roman" w:eastAsia="Times New Roman" w:hAnsi="Times New Roman" w:cs="Times New Roman"/>
          <w:i/>
        </w:rPr>
        <w:t>DQB1</w:t>
      </w:r>
      <w:r>
        <w:rPr>
          <w:rFonts w:ascii="Times New Roman" w:eastAsia="Times New Roman" w:hAnsi="Times New Roman" w:cs="Times New Roman"/>
        </w:rPr>
        <w:t>, and (</w:t>
      </w:r>
      <w:r>
        <w:rPr>
          <w:rFonts w:ascii="Times New Roman" w:eastAsia="Times New Roman" w:hAnsi="Times New Roman" w:cs="Times New Roman"/>
          <w:b/>
        </w:rPr>
        <w:t>D</w:t>
      </w:r>
      <w:r>
        <w:rPr>
          <w:rFonts w:ascii="Times New Roman" w:eastAsia="Times New Roman" w:hAnsi="Times New Roman" w:cs="Times New Roman"/>
        </w:rPr>
        <w:t xml:space="preserve">) </w:t>
      </w:r>
      <w:r>
        <w:rPr>
          <w:rFonts w:ascii="Times New Roman" w:eastAsia="Times New Roman" w:hAnsi="Times New Roman" w:cs="Times New Roman"/>
          <w:i/>
        </w:rPr>
        <w:t>DRA</w:t>
      </w:r>
      <w:r>
        <w:rPr>
          <w:rFonts w:ascii="Times New Roman" w:eastAsia="Times New Roman" w:hAnsi="Times New Roman" w:cs="Times New Roman"/>
        </w:rPr>
        <w:t xml:space="preserve">, in healthy controls and JIA patients. </w:t>
      </w:r>
      <w:r>
        <w:rPr>
          <w:rFonts w:ascii="Times New Roman" w:eastAsia="Times New Roman" w:hAnsi="Times New Roman" w:cs="Times New Roman"/>
          <w:highlight w:val="white"/>
        </w:rPr>
        <w:t>Asterisks represent the significance levels of difference between the HLA gene expression levels in JIA patients and those in healthy controls. *, P &lt; 0.05; **, P &lt; 0.01.</w:t>
      </w:r>
      <w:r>
        <w:br w:type="page"/>
      </w:r>
    </w:p>
    <w:p w14:paraId="4D96BEF1" w14:textId="77777777" w:rsidR="002C392D" w:rsidRDefault="002C392D">
      <w:pPr>
        <w:spacing w:line="240" w:lineRule="auto"/>
        <w:jc w:val="center"/>
        <w:rPr>
          <w:rFonts w:ascii="Times New Roman" w:eastAsia="Times New Roman" w:hAnsi="Times New Roman" w:cs="Times New Roman"/>
          <w:b/>
          <w:sz w:val="28"/>
          <w:szCs w:val="28"/>
        </w:rPr>
      </w:pPr>
    </w:p>
    <w:p w14:paraId="2B27FCCB" w14:textId="77777777" w:rsidR="002C392D" w:rsidRDefault="002C392D">
      <w:pPr>
        <w:spacing w:line="240" w:lineRule="auto"/>
        <w:jc w:val="center"/>
        <w:rPr>
          <w:rFonts w:ascii="Times New Roman" w:eastAsia="Times New Roman" w:hAnsi="Times New Roman" w:cs="Times New Roman"/>
          <w:b/>
          <w:sz w:val="28"/>
          <w:szCs w:val="28"/>
        </w:rPr>
      </w:pPr>
    </w:p>
    <w:p w14:paraId="3819B809" w14:textId="77777777" w:rsidR="002C392D"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8"/>
          <w:szCs w:val="28"/>
        </w:rPr>
        <w:drawing>
          <wp:inline distT="114300" distB="114300" distL="114300" distR="114300" wp14:anchorId="11A69665" wp14:editId="3EE46301">
            <wp:extent cx="5731200" cy="4584700"/>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731200" cy="4584700"/>
                    </a:xfrm>
                    <a:prstGeom prst="rect">
                      <a:avLst/>
                    </a:prstGeom>
                    <a:ln/>
                  </pic:spPr>
                </pic:pic>
              </a:graphicData>
            </a:graphic>
          </wp:inline>
        </w:drawing>
      </w:r>
    </w:p>
    <w:p w14:paraId="4DB60543" w14:textId="77777777" w:rsidR="002C392D"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Supplementary Figure S11. </w:t>
      </w:r>
      <w:r>
        <w:rPr>
          <w:rFonts w:ascii="Times New Roman" w:eastAsia="Times New Roman" w:hAnsi="Times New Roman" w:cs="Times New Roman"/>
          <w:b/>
          <w:sz w:val="24"/>
          <w:szCs w:val="24"/>
          <w:highlight w:val="white"/>
        </w:rPr>
        <w:t xml:space="preserve">The </w:t>
      </w:r>
      <w:r>
        <w:rPr>
          <w:rFonts w:ascii="Times New Roman" w:eastAsia="Times New Roman" w:hAnsi="Times New Roman" w:cs="Times New Roman"/>
          <w:b/>
          <w:sz w:val="24"/>
          <w:szCs w:val="24"/>
        </w:rPr>
        <w:t>clonotypic diversities</w:t>
      </w:r>
      <w:r>
        <w:rPr>
          <w:rFonts w:ascii="Times New Roman" w:eastAsia="Times New Roman" w:hAnsi="Times New Roman" w:cs="Times New Roman"/>
          <w:b/>
          <w:sz w:val="24"/>
          <w:szCs w:val="24"/>
          <w:highlight w:val="white"/>
        </w:rPr>
        <w:t xml:space="preserve"> of TCRA and TCRB loci </w:t>
      </w:r>
      <w:r>
        <w:rPr>
          <w:rFonts w:ascii="Times New Roman" w:eastAsia="Times New Roman" w:hAnsi="Times New Roman" w:cs="Times New Roman"/>
          <w:b/>
          <w:sz w:val="24"/>
          <w:szCs w:val="24"/>
        </w:rPr>
        <w:t xml:space="preserve">in healthy controls and patients of 3 JIA subtypes. </w:t>
      </w:r>
      <w:r>
        <w:rPr>
          <w:rFonts w:ascii="Times New Roman" w:eastAsia="Times New Roman" w:hAnsi="Times New Roman" w:cs="Times New Roman"/>
          <w:highlight w:val="white"/>
        </w:rPr>
        <w:t>Box plots showing the alpha diversities of (</w:t>
      </w:r>
      <w:r>
        <w:rPr>
          <w:rFonts w:ascii="Times New Roman" w:eastAsia="Times New Roman" w:hAnsi="Times New Roman" w:cs="Times New Roman"/>
          <w:b/>
          <w:highlight w:val="white"/>
        </w:rPr>
        <w:t>A</w:t>
      </w:r>
      <w:r>
        <w:rPr>
          <w:rFonts w:ascii="Times New Roman" w:eastAsia="Times New Roman" w:hAnsi="Times New Roman" w:cs="Times New Roman"/>
          <w:highlight w:val="white"/>
        </w:rPr>
        <w:t>) TCRA and (</w:t>
      </w:r>
      <w:r>
        <w:rPr>
          <w:rFonts w:ascii="Times New Roman" w:eastAsia="Times New Roman" w:hAnsi="Times New Roman" w:cs="Times New Roman"/>
          <w:b/>
          <w:highlight w:val="white"/>
        </w:rPr>
        <w:t>B</w:t>
      </w:r>
      <w:r>
        <w:rPr>
          <w:rFonts w:ascii="Times New Roman" w:eastAsia="Times New Roman" w:hAnsi="Times New Roman" w:cs="Times New Roman"/>
          <w:highlight w:val="white"/>
        </w:rPr>
        <w:t>) TCRB loci in the healthy controls and 3 JIA subtypes. The y-axis indicates alpha diversity representing the clonotypic diversity. Colored dots indicate samples of healthy controls and JIA patients of specific subtypes, respectively. Asterisks represent the significance levels of differences between the clonotypic diversities of TCRA and TCRB in healthy controls and those in patients of each JIA subtype.</w:t>
      </w:r>
    </w:p>
    <w:p w14:paraId="5AF4CCEE" w14:textId="77777777" w:rsidR="002C392D" w:rsidRDefault="002C392D">
      <w:pPr>
        <w:spacing w:line="240" w:lineRule="auto"/>
        <w:rPr>
          <w:rFonts w:ascii="Times New Roman" w:eastAsia="Times New Roman" w:hAnsi="Times New Roman" w:cs="Times New Roman"/>
          <w:b/>
        </w:rPr>
      </w:pPr>
    </w:p>
    <w:p w14:paraId="7C66AE62" w14:textId="77777777" w:rsidR="002C392D" w:rsidRDefault="00000000">
      <w:pPr>
        <w:spacing w:line="240" w:lineRule="auto"/>
        <w:jc w:val="center"/>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114300" distB="114300" distL="114300" distR="114300" wp14:anchorId="5AB6EDAF" wp14:editId="36C947FD">
            <wp:extent cx="4903547" cy="3917950"/>
            <wp:effectExtent l="0" t="0" r="0" b="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9"/>
                    <a:srcRect/>
                    <a:stretch>
                      <a:fillRect/>
                    </a:stretch>
                  </pic:blipFill>
                  <pic:spPr>
                    <a:xfrm>
                      <a:off x="0" y="0"/>
                      <a:ext cx="4903547" cy="3917950"/>
                    </a:xfrm>
                    <a:prstGeom prst="rect">
                      <a:avLst/>
                    </a:prstGeom>
                    <a:ln/>
                  </pic:spPr>
                </pic:pic>
              </a:graphicData>
            </a:graphic>
          </wp:inline>
        </w:drawing>
      </w:r>
    </w:p>
    <w:p w14:paraId="0A3CE356" w14:textId="77777777" w:rsidR="002C392D" w:rsidRDefault="002C392D">
      <w:pPr>
        <w:spacing w:line="240" w:lineRule="auto"/>
        <w:jc w:val="both"/>
        <w:rPr>
          <w:rFonts w:ascii="Times New Roman" w:eastAsia="Times New Roman" w:hAnsi="Times New Roman" w:cs="Times New Roman"/>
          <w:b/>
          <w:sz w:val="24"/>
          <w:szCs w:val="24"/>
        </w:rPr>
      </w:pPr>
    </w:p>
    <w:p w14:paraId="5CEA05ED" w14:textId="0C601AC0" w:rsidR="002C392D"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b/>
          <w:sz w:val="24"/>
          <w:szCs w:val="24"/>
        </w:rPr>
        <w:t xml:space="preserve">Supplementary Figure S12. </w:t>
      </w:r>
      <w:r>
        <w:rPr>
          <w:rFonts w:ascii="Times New Roman" w:eastAsia="Times New Roman" w:hAnsi="Times New Roman" w:cs="Times New Roman"/>
          <w:b/>
        </w:rPr>
        <w:t xml:space="preserve">Quantification of the cluster distribution. </w:t>
      </w:r>
      <w:r>
        <w:rPr>
          <w:rFonts w:ascii="Times New Roman" w:eastAsia="Times New Roman" w:hAnsi="Times New Roman" w:cs="Times New Roman"/>
        </w:rPr>
        <w:t>(</w:t>
      </w:r>
      <w:r>
        <w:rPr>
          <w:rFonts w:ascii="Times New Roman" w:eastAsia="Times New Roman" w:hAnsi="Times New Roman" w:cs="Times New Roman"/>
          <w:b/>
        </w:rPr>
        <w:t>A</w:t>
      </w:r>
      <w:r>
        <w:rPr>
          <w:rFonts w:ascii="Times New Roman" w:eastAsia="Times New Roman" w:hAnsi="Times New Roman" w:cs="Times New Roman"/>
        </w:rPr>
        <w:t>) Bar plot showing cluster distribution of the two different T cell types. (</w:t>
      </w:r>
      <w:r>
        <w:rPr>
          <w:rFonts w:ascii="Times New Roman" w:eastAsia="Times New Roman" w:hAnsi="Times New Roman" w:cs="Times New Roman"/>
          <w:b/>
        </w:rPr>
        <w:t>B</w:t>
      </w:r>
      <w:r>
        <w:rPr>
          <w:rFonts w:ascii="Times New Roman" w:eastAsia="Times New Roman" w:hAnsi="Times New Roman" w:cs="Times New Roman"/>
        </w:rPr>
        <w:t>) Bar plot showing cluster distribution of the seven different JIA patients. (</w:t>
      </w:r>
      <w:r>
        <w:rPr>
          <w:rFonts w:ascii="Times New Roman" w:eastAsia="Times New Roman" w:hAnsi="Times New Roman" w:cs="Times New Roman"/>
          <w:b/>
        </w:rPr>
        <w:t>C</w:t>
      </w:r>
      <w:r>
        <w:rPr>
          <w:rFonts w:ascii="Times New Roman" w:eastAsia="Times New Roman" w:hAnsi="Times New Roman" w:cs="Times New Roman"/>
        </w:rPr>
        <w:t>) Bar plot showing cluster distribution of the two tissue types. The y-axis of the bar graph denotes the normalized proportions. (</w:t>
      </w:r>
      <w:r>
        <w:rPr>
          <w:rFonts w:ascii="Times New Roman" w:eastAsia="Times New Roman" w:hAnsi="Times New Roman" w:cs="Times New Roman"/>
          <w:b/>
        </w:rPr>
        <w:t>D</w:t>
      </w:r>
      <w:r>
        <w:rPr>
          <w:rFonts w:ascii="Times New Roman" w:eastAsia="Times New Roman" w:hAnsi="Times New Roman" w:cs="Times New Roman"/>
        </w:rPr>
        <w:t xml:space="preserve">) Alluvial diagram showing the distribution of T cell types. Three categorical axes are variables (i.e., origin tissues, clusters, and T cell types) along which the data are grouped. Each horizontal spline (called alluvium) corresponds to a fixed value of each axis variable, indicated by T cell </w:t>
      </w:r>
      <w:proofErr w:type="gramStart"/>
      <w:r w:rsidR="00A249A7">
        <w:rPr>
          <w:rFonts w:ascii="Times New Roman" w:eastAsia="Times New Roman" w:hAnsi="Times New Roman" w:cs="Times New Roman"/>
        </w:rPr>
        <w:t>types’</w:t>
      </w:r>
      <w:proofErr w:type="gramEnd"/>
      <w:r w:rsidR="00A249A7">
        <w:rPr>
          <w:rFonts w:ascii="Times New Roman" w:eastAsia="Times New Roman" w:hAnsi="Times New Roman" w:cs="Times New Roman"/>
        </w:rPr>
        <w:t xml:space="preserve"> of</w:t>
      </w:r>
      <w:r>
        <w:rPr>
          <w:rFonts w:ascii="Times New Roman" w:eastAsia="Times New Roman" w:hAnsi="Times New Roman" w:cs="Times New Roman"/>
        </w:rPr>
        <w:t xml:space="preserve"> colors. The red and blue colors correspond to CD8</w:t>
      </w:r>
      <w:r>
        <w:rPr>
          <w:rFonts w:ascii="Times New Roman" w:eastAsia="Times New Roman" w:hAnsi="Times New Roman" w:cs="Times New Roman"/>
          <w:vertAlign w:val="superscript"/>
        </w:rPr>
        <w:t>+</w:t>
      </w:r>
      <w:r>
        <w:rPr>
          <w:rFonts w:ascii="Times New Roman" w:eastAsia="Times New Roman" w:hAnsi="Times New Roman" w:cs="Times New Roman"/>
        </w:rPr>
        <w:t xml:space="preserve"> and CD4</w:t>
      </w:r>
      <w:r>
        <w:rPr>
          <w:rFonts w:ascii="Times New Roman" w:eastAsia="Times New Roman" w:hAnsi="Times New Roman" w:cs="Times New Roman"/>
          <w:vertAlign w:val="superscript"/>
        </w:rPr>
        <w:t>+</w:t>
      </w:r>
      <w:r>
        <w:rPr>
          <w:rFonts w:ascii="Times New Roman" w:eastAsia="Times New Roman" w:hAnsi="Times New Roman" w:cs="Times New Roman"/>
        </w:rPr>
        <w:t xml:space="preserve"> T cells, respectively.</w:t>
      </w:r>
    </w:p>
    <w:p w14:paraId="18F22AF8" w14:textId="77777777" w:rsidR="002C392D" w:rsidRDefault="002C392D">
      <w:pPr>
        <w:spacing w:line="240" w:lineRule="auto"/>
        <w:jc w:val="both"/>
        <w:rPr>
          <w:rFonts w:ascii="Times New Roman" w:eastAsia="Times New Roman" w:hAnsi="Times New Roman" w:cs="Times New Roman"/>
          <w:b/>
        </w:rPr>
      </w:pPr>
    </w:p>
    <w:p w14:paraId="1D6725B7" w14:textId="77777777" w:rsidR="002C392D" w:rsidRDefault="002C392D">
      <w:pPr>
        <w:spacing w:line="240" w:lineRule="auto"/>
        <w:jc w:val="both"/>
        <w:rPr>
          <w:rFonts w:ascii="Times New Roman" w:eastAsia="Times New Roman" w:hAnsi="Times New Roman" w:cs="Times New Roman"/>
          <w:b/>
        </w:rPr>
      </w:pPr>
    </w:p>
    <w:p w14:paraId="191EAB1C" w14:textId="77777777" w:rsidR="002C392D" w:rsidRDefault="00000000">
      <w:pPr>
        <w:spacing w:line="240" w:lineRule="auto"/>
        <w:jc w:val="center"/>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114300" distB="114300" distL="114300" distR="114300" wp14:anchorId="62DB8096" wp14:editId="19E0E5DE">
            <wp:extent cx="4630492" cy="4622800"/>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4630492" cy="4622800"/>
                    </a:xfrm>
                    <a:prstGeom prst="rect">
                      <a:avLst/>
                    </a:prstGeom>
                    <a:ln/>
                  </pic:spPr>
                </pic:pic>
              </a:graphicData>
            </a:graphic>
          </wp:inline>
        </w:drawing>
      </w:r>
    </w:p>
    <w:p w14:paraId="48970B8A" w14:textId="77777777" w:rsidR="002C392D" w:rsidRDefault="002C392D">
      <w:pPr>
        <w:spacing w:line="240" w:lineRule="auto"/>
        <w:jc w:val="both"/>
        <w:rPr>
          <w:rFonts w:ascii="Times New Roman" w:eastAsia="Times New Roman" w:hAnsi="Times New Roman" w:cs="Times New Roman"/>
          <w:b/>
        </w:rPr>
      </w:pPr>
    </w:p>
    <w:p w14:paraId="65A29A14" w14:textId="77777777" w:rsidR="002C392D" w:rsidRDefault="00000000">
      <w:pPr>
        <w:spacing w:line="240" w:lineRule="auto"/>
        <w:jc w:val="both"/>
        <w:rPr>
          <w:rFonts w:ascii="Times New Roman" w:eastAsia="Times New Roman" w:hAnsi="Times New Roman" w:cs="Times New Roman"/>
          <w:b/>
        </w:rPr>
      </w:pPr>
      <w:r>
        <w:rPr>
          <w:rFonts w:ascii="Times New Roman" w:eastAsia="Times New Roman" w:hAnsi="Times New Roman" w:cs="Times New Roman"/>
          <w:b/>
          <w:sz w:val="24"/>
          <w:szCs w:val="24"/>
        </w:rPr>
        <w:t xml:space="preserve">Supplementary Figure S13. UMAP plot for T cell types and tissue types </w:t>
      </w:r>
      <w:r>
        <w:rPr>
          <w:rFonts w:ascii="Times New Roman" w:eastAsia="Times New Roman" w:hAnsi="Times New Roman" w:cs="Times New Roman"/>
          <w:b/>
          <w:sz w:val="27"/>
          <w:szCs w:val="27"/>
          <w:highlight w:val="white"/>
        </w:rPr>
        <w:t>in different clusters</w:t>
      </w:r>
      <w:r>
        <w:rPr>
          <w:rFonts w:ascii="Times New Roman" w:eastAsia="Times New Roman" w:hAnsi="Times New Roman" w:cs="Times New Roman"/>
          <w:b/>
          <w:sz w:val="24"/>
          <w:szCs w:val="24"/>
        </w:rPr>
        <w:t xml:space="preserve">. </w:t>
      </w:r>
      <w:r>
        <w:rPr>
          <w:rFonts w:ascii="Times New Roman" w:eastAsia="Times New Roman" w:hAnsi="Times New Roman" w:cs="Times New Roman"/>
        </w:rPr>
        <w:t>Each dot represents an individual T cell and color indicates cluster origin.</w:t>
      </w:r>
    </w:p>
    <w:p w14:paraId="29FDCF27" w14:textId="77777777" w:rsidR="002C392D" w:rsidRDefault="002C392D">
      <w:pPr>
        <w:spacing w:line="240" w:lineRule="auto"/>
        <w:jc w:val="both"/>
        <w:rPr>
          <w:rFonts w:ascii="Times New Roman" w:eastAsia="Times New Roman" w:hAnsi="Times New Roman" w:cs="Times New Roman"/>
          <w:b/>
        </w:rPr>
      </w:pPr>
    </w:p>
    <w:p w14:paraId="0900D580" w14:textId="77777777" w:rsidR="002C392D" w:rsidRDefault="002C392D">
      <w:pPr>
        <w:spacing w:line="240" w:lineRule="auto"/>
        <w:jc w:val="both"/>
        <w:rPr>
          <w:rFonts w:ascii="Times New Roman" w:eastAsia="Times New Roman" w:hAnsi="Times New Roman" w:cs="Times New Roman"/>
          <w:b/>
          <w:sz w:val="24"/>
          <w:szCs w:val="24"/>
        </w:rPr>
      </w:pPr>
    </w:p>
    <w:p w14:paraId="000B4A2C" w14:textId="77777777" w:rsidR="002C392D"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63DF3449" wp14:editId="04E5CF08">
            <wp:extent cx="3246578" cy="6500813"/>
            <wp:effectExtent l="0" t="0" r="0" b="0"/>
            <wp:docPr id="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1"/>
                    <a:srcRect/>
                    <a:stretch>
                      <a:fillRect/>
                    </a:stretch>
                  </pic:blipFill>
                  <pic:spPr>
                    <a:xfrm>
                      <a:off x="0" y="0"/>
                      <a:ext cx="3246578" cy="6500813"/>
                    </a:xfrm>
                    <a:prstGeom prst="rect">
                      <a:avLst/>
                    </a:prstGeom>
                    <a:ln/>
                  </pic:spPr>
                </pic:pic>
              </a:graphicData>
            </a:graphic>
          </wp:inline>
        </w:drawing>
      </w:r>
    </w:p>
    <w:p w14:paraId="4C293614" w14:textId="77777777" w:rsidR="002C392D"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b/>
          <w:sz w:val="24"/>
          <w:szCs w:val="24"/>
        </w:rPr>
        <w:t xml:space="preserve">Supplementary Figure S14. Expression levels of signature genes in each cluster. </w:t>
      </w:r>
      <w:r>
        <w:rPr>
          <w:rFonts w:ascii="Times New Roman" w:eastAsia="Times New Roman" w:hAnsi="Times New Roman" w:cs="Times New Roman"/>
        </w:rPr>
        <w:t>(</w:t>
      </w:r>
      <w:r>
        <w:rPr>
          <w:rFonts w:ascii="Times New Roman" w:eastAsia="Times New Roman" w:hAnsi="Times New Roman" w:cs="Times New Roman"/>
          <w:b/>
        </w:rPr>
        <w:t>A</w:t>
      </w:r>
      <w:r>
        <w:rPr>
          <w:rFonts w:ascii="Times New Roman" w:eastAsia="Times New Roman" w:hAnsi="Times New Roman" w:cs="Times New Roman"/>
        </w:rPr>
        <w:t xml:space="preserve">) UMAP plot showing the expression levels of four selected genes. Each hexagon represents summarizing points into binned hexagon cells (The number of bins partitioning the range = 50) using </w:t>
      </w:r>
      <w:proofErr w:type="spellStart"/>
      <w:r>
        <w:rPr>
          <w:rFonts w:ascii="Times New Roman" w:eastAsia="Times New Roman" w:hAnsi="Times New Roman" w:cs="Times New Roman"/>
        </w:rPr>
        <w:t>schex</w:t>
      </w:r>
      <w:proofErr w:type="spellEnd"/>
      <w:r>
        <w:rPr>
          <w:rFonts w:ascii="Times New Roman" w:eastAsia="Times New Roman" w:hAnsi="Times New Roman" w:cs="Times New Roman"/>
        </w:rPr>
        <w:t xml:space="preserve"> R package. The color bar denotes the proportion of observations in the bin greater than 0. (</w:t>
      </w:r>
      <w:r>
        <w:rPr>
          <w:rFonts w:ascii="Times New Roman" w:eastAsia="Times New Roman" w:hAnsi="Times New Roman" w:cs="Times New Roman"/>
          <w:b/>
        </w:rPr>
        <w:t>B</w:t>
      </w:r>
      <w:r>
        <w:rPr>
          <w:rFonts w:ascii="Times New Roman" w:eastAsia="Times New Roman" w:hAnsi="Times New Roman" w:cs="Times New Roman"/>
        </w:rPr>
        <w:t>) Dot plot representing the expression levels of six selected genes. The size of dots denotes the percentage of cells within a cluster and the color bar encodes the average expression level of the selected genes across all cells within a cluster.</w:t>
      </w:r>
    </w:p>
    <w:p w14:paraId="640C6AAB" w14:textId="77777777" w:rsidR="002C392D" w:rsidRDefault="002C392D">
      <w:pPr>
        <w:spacing w:line="240" w:lineRule="auto"/>
        <w:jc w:val="center"/>
        <w:rPr>
          <w:rFonts w:ascii="Times New Roman" w:eastAsia="Times New Roman" w:hAnsi="Times New Roman" w:cs="Times New Roman"/>
          <w:b/>
          <w:sz w:val="24"/>
          <w:szCs w:val="24"/>
        </w:rPr>
      </w:pPr>
    </w:p>
    <w:p w14:paraId="4B64FB96" w14:textId="77777777" w:rsidR="002C392D" w:rsidRDefault="002C392D">
      <w:pPr>
        <w:spacing w:line="240" w:lineRule="auto"/>
        <w:jc w:val="center"/>
        <w:rPr>
          <w:rFonts w:ascii="Times New Roman" w:eastAsia="Times New Roman" w:hAnsi="Times New Roman" w:cs="Times New Roman"/>
          <w:b/>
          <w:sz w:val="24"/>
          <w:szCs w:val="24"/>
        </w:rPr>
      </w:pPr>
    </w:p>
    <w:p w14:paraId="7C147EAF" w14:textId="77777777" w:rsidR="002C392D"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7F4418B4" wp14:editId="7274B76F">
            <wp:extent cx="5731200" cy="228600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5731200" cy="2286000"/>
                    </a:xfrm>
                    <a:prstGeom prst="rect">
                      <a:avLst/>
                    </a:prstGeom>
                    <a:ln/>
                  </pic:spPr>
                </pic:pic>
              </a:graphicData>
            </a:graphic>
          </wp:inline>
        </w:drawing>
      </w:r>
    </w:p>
    <w:p w14:paraId="394CED92" w14:textId="77777777" w:rsidR="002C392D" w:rsidRDefault="002C392D">
      <w:pPr>
        <w:spacing w:line="240" w:lineRule="auto"/>
        <w:jc w:val="both"/>
        <w:rPr>
          <w:rFonts w:ascii="Times New Roman" w:eastAsia="Times New Roman" w:hAnsi="Times New Roman" w:cs="Times New Roman"/>
          <w:b/>
          <w:sz w:val="24"/>
          <w:szCs w:val="24"/>
        </w:rPr>
      </w:pPr>
    </w:p>
    <w:p w14:paraId="5742C664" w14:textId="77777777" w:rsidR="002C392D" w:rsidRDefault="00000000">
      <w:p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Supplementary Figure S15. Clonal expansion levels of the clusters.</w:t>
      </w:r>
      <w:r>
        <w:rPr>
          <w:rFonts w:ascii="Times New Roman" w:eastAsia="Times New Roman" w:hAnsi="Times New Roman" w:cs="Times New Roman"/>
          <w:sz w:val="24"/>
          <w:szCs w:val="24"/>
        </w:rPr>
        <w:t xml:space="preserve"> Clonal expansion levels of each cluster in (</w:t>
      </w:r>
      <w:r>
        <w:rPr>
          <w:rFonts w:ascii="Times New Roman" w:eastAsia="Times New Roman" w:hAnsi="Times New Roman" w:cs="Times New Roman"/>
          <w:b/>
          <w:sz w:val="24"/>
          <w:szCs w:val="24"/>
        </w:rPr>
        <w:t>A</w:t>
      </w:r>
      <w:r>
        <w:rPr>
          <w:rFonts w:ascii="Times New Roman" w:eastAsia="Times New Roman" w:hAnsi="Times New Roman" w:cs="Times New Roman"/>
          <w:sz w:val="24"/>
          <w:szCs w:val="24"/>
        </w:rPr>
        <w:t>) CD4</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T cells and (</w:t>
      </w:r>
      <w:r>
        <w:rPr>
          <w:rFonts w:ascii="Times New Roman" w:eastAsia="Times New Roman" w:hAnsi="Times New Roman" w:cs="Times New Roman"/>
          <w:b/>
          <w:sz w:val="24"/>
          <w:szCs w:val="24"/>
        </w:rPr>
        <w:t>B</w:t>
      </w:r>
      <w:r>
        <w:rPr>
          <w:rFonts w:ascii="Times New Roman" w:eastAsia="Times New Roman" w:hAnsi="Times New Roman" w:cs="Times New Roman"/>
          <w:sz w:val="24"/>
          <w:szCs w:val="24"/>
        </w:rPr>
        <w:t>) CD8</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T cells. STARTRAC-</w:t>
      </w:r>
      <w:proofErr w:type="spellStart"/>
      <w:r>
        <w:rPr>
          <w:rFonts w:ascii="Times New Roman" w:eastAsia="Times New Roman" w:hAnsi="Times New Roman" w:cs="Times New Roman"/>
          <w:sz w:val="24"/>
          <w:szCs w:val="24"/>
        </w:rPr>
        <w:t>expa</w:t>
      </w:r>
      <w:proofErr w:type="spellEnd"/>
      <w:r>
        <w:rPr>
          <w:rFonts w:ascii="Times New Roman" w:eastAsia="Times New Roman" w:hAnsi="Times New Roman" w:cs="Times New Roman"/>
          <w:sz w:val="24"/>
          <w:szCs w:val="24"/>
        </w:rPr>
        <w:t xml:space="preserve"> quantified clonal expansion levels for each JIA patient (n = 7). *FDR &lt; 0.05, **FDR &lt; 0.01, two-sided Wilcoxon test.</w:t>
      </w:r>
    </w:p>
    <w:p w14:paraId="37C1C7B1" w14:textId="77777777" w:rsidR="002C392D" w:rsidRDefault="00000000">
      <w:pPr>
        <w:pBdr>
          <w:top w:val="nil"/>
          <w:left w:val="nil"/>
          <w:bottom w:val="nil"/>
          <w:right w:val="nil"/>
          <w:between w:val="nil"/>
        </w:pBdr>
        <w:spacing w:line="240" w:lineRule="auto"/>
        <w:jc w:val="both"/>
        <w:rPr>
          <w:rFonts w:ascii="Times New Roman" w:eastAsia="Times New Roman" w:hAnsi="Times New Roman" w:cs="Times New Roman"/>
          <w:sz w:val="24"/>
          <w:szCs w:val="24"/>
        </w:rPr>
      </w:pPr>
      <w:r>
        <w:br w:type="page"/>
      </w:r>
    </w:p>
    <w:p w14:paraId="20169138" w14:textId="77777777" w:rsidR="002C392D" w:rsidRDefault="002C392D">
      <w:pPr>
        <w:spacing w:line="240" w:lineRule="auto"/>
        <w:jc w:val="both"/>
        <w:rPr>
          <w:rFonts w:ascii="Times New Roman" w:eastAsia="Times New Roman" w:hAnsi="Times New Roman" w:cs="Times New Roman"/>
          <w:b/>
        </w:rPr>
      </w:pPr>
    </w:p>
    <w:p w14:paraId="1CCDC280" w14:textId="77777777" w:rsidR="002C392D"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rPr>
        <w:drawing>
          <wp:inline distT="114300" distB="114300" distL="114300" distR="114300" wp14:anchorId="02AE1BE2" wp14:editId="6C7058A2">
            <wp:extent cx="5731200" cy="2870200"/>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a:srcRect/>
                    <a:stretch>
                      <a:fillRect/>
                    </a:stretch>
                  </pic:blipFill>
                  <pic:spPr>
                    <a:xfrm>
                      <a:off x="0" y="0"/>
                      <a:ext cx="5731200" cy="2870200"/>
                    </a:xfrm>
                    <a:prstGeom prst="rect">
                      <a:avLst/>
                    </a:prstGeom>
                    <a:ln/>
                  </pic:spPr>
                </pic:pic>
              </a:graphicData>
            </a:graphic>
          </wp:inline>
        </w:drawing>
      </w:r>
    </w:p>
    <w:p w14:paraId="1CAB61F9" w14:textId="77777777" w:rsidR="002C392D" w:rsidRDefault="00000000">
      <w:pPr>
        <w:widowControl w:val="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Supplementary Figure S16. Module enrichment analysis between expression levels of </w:t>
      </w:r>
      <w:proofErr w:type="spellStart"/>
      <w:r>
        <w:rPr>
          <w:rFonts w:ascii="Times New Roman" w:eastAsia="Times New Roman" w:hAnsi="Times New Roman" w:cs="Times New Roman"/>
          <w:b/>
          <w:sz w:val="24"/>
          <w:szCs w:val="24"/>
        </w:rPr>
        <w:t>scRNA</w:t>
      </w:r>
      <w:proofErr w:type="spellEnd"/>
      <w:r>
        <w:rPr>
          <w:rFonts w:ascii="Times New Roman" w:eastAsia="Times New Roman" w:hAnsi="Times New Roman" w:cs="Times New Roman"/>
          <w:b/>
          <w:sz w:val="24"/>
          <w:szCs w:val="24"/>
        </w:rPr>
        <w:t xml:space="preserve">-seq CD4_C5 cluster genes and co-expression gene sets derived from JIA case-control expression data. </w:t>
      </w:r>
      <w:r>
        <w:rPr>
          <w:rFonts w:ascii="Times New Roman" w:eastAsia="Times New Roman" w:hAnsi="Times New Roman" w:cs="Times New Roman"/>
        </w:rPr>
        <w:t xml:space="preserve">GSEA plots between expression levels of </w:t>
      </w:r>
      <w:proofErr w:type="spellStart"/>
      <w:r>
        <w:rPr>
          <w:rFonts w:ascii="Times New Roman" w:eastAsia="Times New Roman" w:hAnsi="Times New Roman" w:cs="Times New Roman"/>
          <w:sz w:val="24"/>
          <w:szCs w:val="24"/>
        </w:rPr>
        <w:t>scRNA</w:t>
      </w:r>
      <w:proofErr w:type="spellEnd"/>
      <w:r>
        <w:rPr>
          <w:rFonts w:ascii="Times New Roman" w:eastAsia="Times New Roman" w:hAnsi="Times New Roman" w:cs="Times New Roman"/>
          <w:sz w:val="24"/>
          <w:szCs w:val="24"/>
        </w:rPr>
        <w:t xml:space="preserve">-seq CD4_C5 cluster and co-expression of </w:t>
      </w:r>
      <w:r>
        <w:rPr>
          <w:rFonts w:ascii="Times New Roman" w:eastAsia="Times New Roman" w:hAnsi="Times New Roman" w:cs="Times New Roman"/>
        </w:rPr>
        <w:t>(</w:t>
      </w:r>
      <w:r>
        <w:rPr>
          <w:rFonts w:ascii="Times New Roman" w:eastAsia="Times New Roman" w:hAnsi="Times New Roman" w:cs="Times New Roman"/>
          <w:b/>
        </w:rPr>
        <w:t>A</w:t>
      </w:r>
      <w:r>
        <w:rPr>
          <w:rFonts w:ascii="Times New Roman" w:eastAsia="Times New Roman" w:hAnsi="Times New Roman" w:cs="Times New Roman"/>
        </w:rPr>
        <w:t xml:space="preserve">) </w:t>
      </w:r>
      <w:r>
        <w:rPr>
          <w:rFonts w:ascii="Times New Roman" w:eastAsia="Times New Roman" w:hAnsi="Times New Roman" w:cs="Times New Roman"/>
          <w:sz w:val="24"/>
          <w:szCs w:val="24"/>
        </w:rPr>
        <w:t xml:space="preserve">Tan and </w:t>
      </w:r>
      <w:r>
        <w:rPr>
          <w:rFonts w:ascii="Times New Roman" w:eastAsia="Times New Roman" w:hAnsi="Times New Roman" w:cs="Times New Roman"/>
        </w:rPr>
        <w:t>(</w:t>
      </w:r>
      <w:r>
        <w:rPr>
          <w:rFonts w:ascii="Times New Roman" w:eastAsia="Times New Roman" w:hAnsi="Times New Roman" w:cs="Times New Roman"/>
          <w:b/>
        </w:rPr>
        <w:t>B</w:t>
      </w:r>
      <w:r>
        <w:rPr>
          <w:rFonts w:ascii="Times New Roman" w:eastAsia="Times New Roman" w:hAnsi="Times New Roman" w:cs="Times New Roman"/>
        </w:rPr>
        <w:t xml:space="preserve">) </w:t>
      </w:r>
      <w:r>
        <w:rPr>
          <w:rFonts w:ascii="Times New Roman" w:eastAsia="Times New Roman" w:hAnsi="Times New Roman" w:cs="Times New Roman"/>
          <w:sz w:val="24"/>
          <w:szCs w:val="24"/>
        </w:rPr>
        <w:t>Green modules derived from case-control expression data of GSE13501. The gene lists of modules are in Table S7.</w:t>
      </w:r>
    </w:p>
    <w:p w14:paraId="75DA4D25" w14:textId="77777777" w:rsidR="002C392D" w:rsidRDefault="002C392D">
      <w:pPr>
        <w:spacing w:line="240" w:lineRule="auto"/>
        <w:jc w:val="both"/>
        <w:rPr>
          <w:rFonts w:ascii="Times New Roman" w:eastAsia="Times New Roman" w:hAnsi="Times New Roman" w:cs="Times New Roman"/>
          <w:sz w:val="24"/>
          <w:szCs w:val="24"/>
        </w:rPr>
      </w:pPr>
    </w:p>
    <w:p w14:paraId="52CE6D6A" w14:textId="77777777" w:rsidR="002C392D" w:rsidRDefault="002C392D">
      <w:pPr>
        <w:spacing w:before="240" w:after="240" w:line="240" w:lineRule="auto"/>
        <w:jc w:val="both"/>
        <w:rPr>
          <w:rFonts w:ascii="Times New Roman" w:eastAsia="Times New Roman" w:hAnsi="Times New Roman" w:cs="Times New Roman"/>
          <w:b/>
          <w:sz w:val="28"/>
          <w:szCs w:val="28"/>
        </w:rPr>
      </w:pPr>
    </w:p>
    <w:p w14:paraId="544867C7" w14:textId="77777777" w:rsidR="002C392D" w:rsidRDefault="002C392D">
      <w:pPr>
        <w:spacing w:line="240" w:lineRule="auto"/>
        <w:jc w:val="both"/>
        <w:rPr>
          <w:rFonts w:ascii="Times New Roman" w:eastAsia="Times New Roman" w:hAnsi="Times New Roman" w:cs="Times New Roman"/>
          <w:b/>
          <w:sz w:val="24"/>
          <w:szCs w:val="24"/>
        </w:rPr>
      </w:pPr>
    </w:p>
    <w:p w14:paraId="78C22930" w14:textId="77777777" w:rsidR="002C392D" w:rsidRDefault="002C392D">
      <w:pPr>
        <w:spacing w:line="240" w:lineRule="auto"/>
        <w:jc w:val="both"/>
        <w:rPr>
          <w:rFonts w:ascii="Times New Roman" w:eastAsia="Times New Roman" w:hAnsi="Times New Roman" w:cs="Times New Roman"/>
          <w:sz w:val="24"/>
          <w:szCs w:val="24"/>
        </w:rPr>
      </w:pPr>
    </w:p>
    <w:p w14:paraId="4BB305DB" w14:textId="77777777" w:rsidR="002C392D" w:rsidRDefault="002C392D">
      <w:pPr>
        <w:spacing w:line="240" w:lineRule="auto"/>
        <w:jc w:val="both"/>
        <w:rPr>
          <w:rFonts w:ascii="Times New Roman" w:eastAsia="Times New Roman" w:hAnsi="Times New Roman" w:cs="Times New Roman"/>
          <w:b/>
          <w:sz w:val="24"/>
          <w:szCs w:val="24"/>
        </w:rPr>
      </w:pPr>
    </w:p>
    <w:p w14:paraId="2DF4804C" w14:textId="77777777" w:rsidR="002C392D" w:rsidRDefault="002C392D">
      <w:pPr>
        <w:spacing w:line="240" w:lineRule="auto"/>
        <w:jc w:val="both"/>
        <w:rPr>
          <w:rFonts w:ascii="Times New Roman" w:eastAsia="Times New Roman" w:hAnsi="Times New Roman" w:cs="Times New Roman"/>
          <w:b/>
          <w:sz w:val="24"/>
          <w:szCs w:val="24"/>
        </w:rPr>
      </w:pPr>
    </w:p>
    <w:p w14:paraId="17EAA001" w14:textId="77777777" w:rsidR="002C392D" w:rsidRDefault="002C392D">
      <w:pPr>
        <w:spacing w:line="240" w:lineRule="auto"/>
        <w:jc w:val="both"/>
        <w:rPr>
          <w:rFonts w:ascii="Times New Roman" w:eastAsia="Times New Roman" w:hAnsi="Times New Roman" w:cs="Times New Roman"/>
        </w:rPr>
      </w:pPr>
    </w:p>
    <w:p w14:paraId="1F090947" w14:textId="77777777" w:rsidR="002C392D" w:rsidRDefault="002C392D">
      <w:pPr>
        <w:spacing w:line="240" w:lineRule="auto"/>
        <w:jc w:val="both"/>
        <w:rPr>
          <w:rFonts w:ascii="Times New Roman" w:eastAsia="Times New Roman" w:hAnsi="Times New Roman" w:cs="Times New Roman"/>
        </w:rPr>
      </w:pPr>
    </w:p>
    <w:p w14:paraId="38B5A423" w14:textId="77777777" w:rsidR="002C392D" w:rsidRDefault="002C392D">
      <w:pPr>
        <w:spacing w:line="240" w:lineRule="auto"/>
        <w:jc w:val="both"/>
        <w:rPr>
          <w:rFonts w:ascii="Times New Roman" w:eastAsia="Times New Roman" w:hAnsi="Times New Roman" w:cs="Times New Roman"/>
          <w:b/>
          <w:sz w:val="28"/>
          <w:szCs w:val="28"/>
        </w:rPr>
      </w:pPr>
    </w:p>
    <w:p w14:paraId="2B66A729" w14:textId="77777777" w:rsidR="002C392D" w:rsidRDefault="002C392D">
      <w:pPr>
        <w:spacing w:line="240" w:lineRule="auto"/>
        <w:jc w:val="both"/>
        <w:rPr>
          <w:rFonts w:ascii="Times New Roman" w:eastAsia="Times New Roman" w:hAnsi="Times New Roman" w:cs="Times New Roman"/>
        </w:rPr>
      </w:pPr>
    </w:p>
    <w:p w14:paraId="1C279E92" w14:textId="77777777" w:rsidR="002C392D" w:rsidRDefault="002C392D">
      <w:pPr>
        <w:spacing w:line="240" w:lineRule="auto"/>
        <w:jc w:val="both"/>
        <w:rPr>
          <w:rFonts w:ascii="Times New Roman" w:eastAsia="Times New Roman" w:hAnsi="Times New Roman" w:cs="Times New Roman"/>
          <w:b/>
          <w:sz w:val="28"/>
          <w:szCs w:val="28"/>
        </w:rPr>
      </w:pPr>
    </w:p>
    <w:p w14:paraId="36FB163D" w14:textId="77777777" w:rsidR="002C392D" w:rsidRDefault="002C392D">
      <w:pPr>
        <w:spacing w:line="240" w:lineRule="auto"/>
        <w:jc w:val="both"/>
        <w:rPr>
          <w:rFonts w:ascii="Times New Roman" w:eastAsia="Times New Roman" w:hAnsi="Times New Roman" w:cs="Times New Roman"/>
          <w:b/>
          <w:sz w:val="28"/>
          <w:szCs w:val="28"/>
        </w:rPr>
      </w:pPr>
    </w:p>
    <w:p w14:paraId="5990FBC6" w14:textId="77777777" w:rsidR="002C392D" w:rsidRDefault="002C392D">
      <w:pPr>
        <w:spacing w:line="240" w:lineRule="auto"/>
        <w:jc w:val="both"/>
        <w:rPr>
          <w:rFonts w:ascii="Times New Roman" w:eastAsia="Times New Roman" w:hAnsi="Times New Roman" w:cs="Times New Roman"/>
          <w:b/>
          <w:sz w:val="28"/>
          <w:szCs w:val="28"/>
        </w:rPr>
      </w:pPr>
    </w:p>
    <w:p w14:paraId="2A17BE10" w14:textId="77777777" w:rsidR="002C392D" w:rsidRDefault="002C392D">
      <w:pPr>
        <w:jc w:val="both"/>
        <w:rPr>
          <w:rFonts w:ascii="Times New Roman" w:eastAsia="Times New Roman" w:hAnsi="Times New Roman" w:cs="Times New Roman"/>
          <w:highlight w:val="white"/>
        </w:rPr>
      </w:pPr>
    </w:p>
    <w:p w14:paraId="6BE32B33" w14:textId="77777777" w:rsidR="002C392D" w:rsidRDefault="002C392D">
      <w:pPr>
        <w:spacing w:before="240" w:after="240" w:line="240" w:lineRule="auto"/>
        <w:jc w:val="both"/>
        <w:rPr>
          <w:rFonts w:ascii="Times New Roman" w:eastAsia="Times New Roman" w:hAnsi="Times New Roman" w:cs="Times New Roman"/>
          <w:b/>
          <w:sz w:val="24"/>
          <w:szCs w:val="24"/>
        </w:rPr>
      </w:pPr>
    </w:p>
    <w:sectPr w:rsidR="002C392D">
      <w:headerReference w:type="default" r:id="rId24"/>
      <w:footerReference w:type="default" r:id="rId2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13175" w14:textId="77777777" w:rsidR="009063DD" w:rsidRDefault="009063DD">
      <w:pPr>
        <w:spacing w:line="240" w:lineRule="auto"/>
      </w:pPr>
      <w:r>
        <w:separator/>
      </w:r>
    </w:p>
  </w:endnote>
  <w:endnote w:type="continuationSeparator" w:id="0">
    <w:p w14:paraId="045C4028" w14:textId="77777777" w:rsidR="009063DD" w:rsidRDefault="009063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ungsuh">
    <w:panose1 w:val="02030600000101010101"/>
    <w:charset w:val="81"/>
    <w:family w:val="roman"/>
    <w:pitch w:val="variable"/>
    <w:sig w:usb0="B00002AF" w:usb1="69D77CFB" w:usb2="00000030" w:usb3="00000000" w:csb0="0008009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DFB90" w14:textId="77777777" w:rsidR="002C392D" w:rsidRDefault="002C392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D685A" w14:textId="77777777" w:rsidR="009063DD" w:rsidRDefault="009063DD">
      <w:pPr>
        <w:spacing w:line="240" w:lineRule="auto"/>
      </w:pPr>
      <w:r>
        <w:separator/>
      </w:r>
    </w:p>
  </w:footnote>
  <w:footnote w:type="continuationSeparator" w:id="0">
    <w:p w14:paraId="722F9EE8" w14:textId="77777777" w:rsidR="009063DD" w:rsidRDefault="009063D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B963B" w14:textId="77777777" w:rsidR="002C392D" w:rsidRDefault="002C392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92D"/>
    <w:rsid w:val="001B6DC8"/>
    <w:rsid w:val="00234411"/>
    <w:rsid w:val="002C392D"/>
    <w:rsid w:val="004A6522"/>
    <w:rsid w:val="004C0B4A"/>
    <w:rsid w:val="004E3610"/>
    <w:rsid w:val="00511B0F"/>
    <w:rsid w:val="0056325D"/>
    <w:rsid w:val="00905A03"/>
    <w:rsid w:val="009063DD"/>
    <w:rsid w:val="00A249A7"/>
    <w:rsid w:val="00B86015"/>
    <w:rsid w:val="00EA4CEB"/>
    <w:rsid w:val="00FB087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63D0FF5C"/>
  <w15:docId w15:val="{89C2A4E2-1436-FC4C-812D-9D851A9B4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EA4CEB"/>
    <w:rPr>
      <w:color w:val="0000FF" w:themeColor="hyperlink"/>
      <w:u w:val="single"/>
    </w:rPr>
  </w:style>
  <w:style w:type="character" w:styleId="UnresolvedMention">
    <w:name w:val="Unresolved Mention"/>
    <w:basedOn w:val="DefaultParagraphFont"/>
    <w:uiPriority w:val="99"/>
    <w:semiHidden/>
    <w:unhideWhenUsed/>
    <w:rsid w:val="00EA4CEB"/>
    <w:rPr>
      <w:color w:val="605E5C"/>
      <w:shd w:val="clear" w:color="auto" w:fill="E1DFDD"/>
    </w:rPr>
  </w:style>
  <w:style w:type="character" w:customStyle="1" w:styleId="TitleChar">
    <w:name w:val="Title Char"/>
    <w:basedOn w:val="DefaultParagraphFont"/>
    <w:link w:val="Title"/>
    <w:uiPriority w:val="10"/>
    <w:rsid w:val="0056325D"/>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4.png"/><Relationship Id="rId7" Type="http://schemas.openxmlformats.org/officeDocument/2006/relationships/hyperlink" Target="mailto:wany@dongguk.edu"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styles" Target="styles.xml"/><Relationship Id="rId6" Type="http://schemas.openxmlformats.org/officeDocument/2006/relationships/hyperlink" Target="mailto:junghyun.jung@cshs.org" TargetMode="Externa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1334</Words>
  <Characters>7607</Characters>
  <Application>Microsoft Office Word</Application>
  <DocSecurity>0</DocSecurity>
  <Lines>63</Lines>
  <Paragraphs>17</Paragraphs>
  <ScaleCrop>false</ScaleCrop>
  <Company/>
  <LinksUpToDate>false</LinksUpToDate>
  <CharactersWithSpaces>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Junghyun Jung</cp:lastModifiedBy>
  <cp:revision>8</cp:revision>
  <dcterms:created xsi:type="dcterms:W3CDTF">2023-04-04T05:06:00Z</dcterms:created>
  <dcterms:modified xsi:type="dcterms:W3CDTF">2023-09-27T07:32:00Z</dcterms:modified>
</cp:coreProperties>
</file>