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18B62" w14:textId="77777777" w:rsidR="00BC7692" w:rsidRPr="00BC7692" w:rsidRDefault="00BC7692" w:rsidP="00BC769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7692">
        <w:rPr>
          <w:rFonts w:ascii="Times New Roman" w:hAnsi="Times New Roman" w:cs="Times New Roman"/>
          <w:color w:val="000000" w:themeColor="text1"/>
          <w:sz w:val="24"/>
          <w:szCs w:val="24"/>
        </w:rPr>
        <w:t>eTable</w:t>
      </w:r>
      <w:proofErr w:type="spellEnd"/>
      <w:r w:rsidRPr="00BC7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Measurement and Quantitative Assessment of Cardiovascular Health Metrics (Life’s Essential 8).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3"/>
        <w:gridCol w:w="1290"/>
        <w:gridCol w:w="6011"/>
        <w:gridCol w:w="5414"/>
      </w:tblGrid>
      <w:tr w:rsidR="00BC7692" w:rsidRPr="00BC7692" w14:paraId="630DC9DD" w14:textId="77777777" w:rsidTr="009B6E2C">
        <w:trPr>
          <w:tblHeader/>
        </w:trPr>
        <w:tc>
          <w:tcPr>
            <w:tcW w:w="0" w:type="auto"/>
            <w:vAlign w:val="center"/>
          </w:tcPr>
          <w:p w14:paraId="159CFD0E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Domain</w:t>
            </w:r>
          </w:p>
        </w:tc>
        <w:tc>
          <w:tcPr>
            <w:tcW w:w="0" w:type="auto"/>
            <w:vAlign w:val="center"/>
          </w:tcPr>
          <w:p w14:paraId="42A4BC61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CVH metric</w:t>
            </w:r>
          </w:p>
        </w:tc>
        <w:tc>
          <w:tcPr>
            <w:tcW w:w="0" w:type="auto"/>
            <w:vAlign w:val="center"/>
          </w:tcPr>
          <w:p w14:paraId="44DBBB37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Method of measurement</w:t>
            </w:r>
          </w:p>
        </w:tc>
        <w:tc>
          <w:tcPr>
            <w:tcW w:w="0" w:type="auto"/>
            <w:vAlign w:val="center"/>
          </w:tcPr>
          <w:p w14:paraId="3CAA0EFD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Quantification of CVH metric: adults (≥20 y of age)</w:t>
            </w:r>
          </w:p>
        </w:tc>
      </w:tr>
      <w:tr w:rsidR="00BC7692" w:rsidRPr="00BC7692" w14:paraId="08E82398" w14:textId="77777777" w:rsidTr="009B6E2C">
        <w:tc>
          <w:tcPr>
            <w:tcW w:w="0" w:type="auto"/>
            <w:vMerge w:val="restart"/>
            <w:vAlign w:val="center"/>
          </w:tcPr>
          <w:p w14:paraId="230607D7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behaviors</w:t>
            </w:r>
          </w:p>
        </w:tc>
        <w:tc>
          <w:tcPr>
            <w:tcW w:w="0" w:type="auto"/>
            <w:vAlign w:val="center"/>
          </w:tcPr>
          <w:p w14:paraId="396793CE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Diet</w:t>
            </w:r>
          </w:p>
        </w:tc>
        <w:tc>
          <w:tcPr>
            <w:tcW w:w="0" w:type="auto"/>
            <w:vAlign w:val="center"/>
          </w:tcPr>
          <w:p w14:paraId="559E115D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Self-reported daily intake of a DASH-style eating pattern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DASH diet score (populations); MEPA (individuals)</w:t>
            </w:r>
          </w:p>
        </w:tc>
        <w:tc>
          <w:tcPr>
            <w:tcW w:w="0" w:type="auto"/>
            <w:vAlign w:val="center"/>
          </w:tcPr>
          <w:p w14:paraId="2C0CFA39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Quantiles of DASH-style diet adherence or HEI-2015 (population)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 (population):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Quantile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≥95th percentile (top/ideal diet)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80       75th–94th percentile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50       50th–74th percentile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25       25th–49th percentile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       1st–24th percentile (bottom/least ideal quartile)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</w:r>
          </w:p>
        </w:tc>
      </w:tr>
      <w:tr w:rsidR="00BC7692" w:rsidRPr="00BC7692" w14:paraId="367D2549" w14:textId="77777777" w:rsidTr="009B6E2C">
        <w:tc>
          <w:tcPr>
            <w:tcW w:w="0" w:type="auto"/>
            <w:vMerge/>
            <w:vAlign w:val="center"/>
          </w:tcPr>
          <w:p w14:paraId="4CAA2B40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4A1675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</w:t>
            </w:r>
          </w:p>
        </w:tc>
        <w:tc>
          <w:tcPr>
            <w:tcW w:w="0" w:type="auto"/>
            <w:vAlign w:val="center"/>
          </w:tcPr>
          <w:p w14:paraId="304C6909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Self-reported minutes of moderate or vigorous PA per week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NHANES PAQ-K questionnaire</w:t>
            </w:r>
          </w:p>
        </w:tc>
        <w:tc>
          <w:tcPr>
            <w:tcW w:w="0" w:type="auto"/>
            <w:vAlign w:val="center"/>
          </w:tcPr>
          <w:p w14:paraId="7E6652A3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Minutes of moderate- (or greater) intensity activity per week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   Minutes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     ≥150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90       120–149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80       90–119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60       60–89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40       30–59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20       1–29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       0</w:t>
            </w:r>
          </w:p>
        </w:tc>
      </w:tr>
      <w:tr w:rsidR="00BC7692" w:rsidRPr="00BC7692" w14:paraId="2FAA6F13" w14:textId="77777777" w:rsidTr="009B6E2C">
        <w:tc>
          <w:tcPr>
            <w:tcW w:w="0" w:type="auto"/>
            <w:vMerge/>
            <w:vAlign w:val="center"/>
          </w:tcPr>
          <w:p w14:paraId="7A0C34E9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56D537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Nicotine exposure</w:t>
            </w:r>
          </w:p>
        </w:tc>
        <w:tc>
          <w:tcPr>
            <w:tcW w:w="0" w:type="auto"/>
            <w:vAlign w:val="center"/>
          </w:tcPr>
          <w:p w14:paraId="3B3E8183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Self-reported use of cigarettes or inhaled NDS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NHANES SMQ</w:t>
            </w:r>
          </w:p>
        </w:tc>
        <w:tc>
          <w:tcPr>
            <w:tcW w:w="0" w:type="auto"/>
            <w:vAlign w:val="center"/>
          </w:tcPr>
          <w:p w14:paraId="67FB52F5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Metric: Combustible tobacco </w:t>
            </w:r>
            <w:proofErr w:type="gramStart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use</w:t>
            </w:r>
            <w:proofErr w:type="gramEnd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or inhaled NDS use; or second hand smoke exposure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Points    Status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  Never smoker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75       Former smoker, quit ≥5 y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50       Former smoker, quit 1–&lt;5 y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25       Former smoker, quit &lt;1 y, or currently using inhaled NDS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       Current smoker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Subtract 20 points (unless score is 0) for living with active indoor smoker in home</w:t>
            </w:r>
          </w:p>
        </w:tc>
      </w:tr>
      <w:tr w:rsidR="00BC7692" w:rsidRPr="00BC7692" w14:paraId="0B733FB7" w14:textId="77777777" w:rsidTr="009B6E2C">
        <w:tc>
          <w:tcPr>
            <w:tcW w:w="0" w:type="auto"/>
            <w:vMerge/>
            <w:vAlign w:val="center"/>
          </w:tcPr>
          <w:p w14:paraId="3873FF39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1306F2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Sleep health</w:t>
            </w:r>
          </w:p>
        </w:tc>
        <w:tc>
          <w:tcPr>
            <w:tcW w:w="0" w:type="auto"/>
            <w:vAlign w:val="center"/>
          </w:tcPr>
          <w:p w14:paraId="55FE5891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Self-reported average hours of sleep per night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“On average, how many hours of sleep do you get per night?”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Consider objective sleep/actigraphy data from wearable technology if available</w:t>
            </w:r>
          </w:p>
        </w:tc>
        <w:tc>
          <w:tcPr>
            <w:tcW w:w="0" w:type="auto"/>
            <w:vAlign w:val="center"/>
          </w:tcPr>
          <w:p w14:paraId="199886AC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Average hours of sleep per night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   Level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  7–&lt;9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90       9–&lt;10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70       6–&lt;7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40       5–&lt;6 or ≥10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20       4–&lt;5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       &lt;4</w:t>
            </w:r>
          </w:p>
        </w:tc>
      </w:tr>
      <w:tr w:rsidR="00BC7692" w:rsidRPr="00BC7692" w14:paraId="4E257517" w14:textId="77777777" w:rsidTr="009B6E2C">
        <w:tc>
          <w:tcPr>
            <w:tcW w:w="0" w:type="auto"/>
            <w:vMerge w:val="restart"/>
            <w:vAlign w:val="center"/>
          </w:tcPr>
          <w:p w14:paraId="5F60110B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factors</w:t>
            </w:r>
          </w:p>
        </w:tc>
        <w:tc>
          <w:tcPr>
            <w:tcW w:w="0" w:type="auto"/>
            <w:vAlign w:val="center"/>
          </w:tcPr>
          <w:p w14:paraId="037AAA5E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0" w:type="auto"/>
            <w:vAlign w:val="center"/>
          </w:tcPr>
          <w:p w14:paraId="13E683AF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Body weight (kilograms) divided by height squared (meters squared)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Objective measurement of height and weight</w:t>
            </w:r>
          </w:p>
        </w:tc>
        <w:tc>
          <w:tcPr>
            <w:tcW w:w="0" w:type="auto"/>
            <w:vAlign w:val="center"/>
          </w:tcPr>
          <w:p w14:paraId="0D569882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BMI (kg/m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    Level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      &lt;25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70        25.0–29.9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30        30.0–34.9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15        35.0–39.9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        ≥40.0</w:t>
            </w:r>
          </w:p>
        </w:tc>
      </w:tr>
      <w:tr w:rsidR="00BC7692" w:rsidRPr="00BC7692" w14:paraId="7C7267AE" w14:textId="77777777" w:rsidTr="009B6E2C">
        <w:tc>
          <w:tcPr>
            <w:tcW w:w="0" w:type="auto"/>
            <w:vMerge/>
            <w:vAlign w:val="center"/>
          </w:tcPr>
          <w:p w14:paraId="0E09C03C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207F36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Blood lipids</w:t>
            </w:r>
          </w:p>
        </w:tc>
        <w:tc>
          <w:tcPr>
            <w:tcW w:w="0" w:type="auto"/>
            <w:vAlign w:val="center"/>
          </w:tcPr>
          <w:p w14:paraId="24BD040D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Plasma total and HDL cholesterol with calculation of non–HDL cholesterol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Example tools for measurement: Fasting or </w:t>
            </w:r>
            <w:proofErr w:type="spellStart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nonfasting</w:t>
            </w:r>
            <w:proofErr w:type="spellEnd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blood sample</w:t>
            </w:r>
          </w:p>
        </w:tc>
        <w:tc>
          <w:tcPr>
            <w:tcW w:w="0" w:type="auto"/>
            <w:vAlign w:val="center"/>
          </w:tcPr>
          <w:p w14:paraId="02511A81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Non–HDL cholesterol (mg/dL)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    Level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 &lt;130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60       130–159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40       160–189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20       190–219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  ≥220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If drug-treated level, subtract 20 points</w:t>
            </w:r>
          </w:p>
        </w:tc>
      </w:tr>
      <w:tr w:rsidR="00BC7692" w:rsidRPr="00BC7692" w14:paraId="6C5E362A" w14:textId="77777777" w:rsidTr="009B6E2C">
        <w:tc>
          <w:tcPr>
            <w:tcW w:w="0" w:type="auto"/>
            <w:vMerge/>
            <w:vAlign w:val="center"/>
          </w:tcPr>
          <w:p w14:paraId="4C006D7B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74EE69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Blood glucose</w:t>
            </w:r>
          </w:p>
        </w:tc>
        <w:tc>
          <w:tcPr>
            <w:tcW w:w="0" w:type="auto"/>
            <w:vAlign w:val="center"/>
          </w:tcPr>
          <w:p w14:paraId="6BEB0D1B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FBG or casual HbA1c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 xml:space="preserve">Example tools for measurement: Fasting (FBG, HbA1c) or </w:t>
            </w:r>
            <w:proofErr w:type="spellStart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nonfasting</w:t>
            </w:r>
            <w:proofErr w:type="spellEnd"/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(HbA1c) blood sample</w:t>
            </w:r>
          </w:p>
        </w:tc>
        <w:tc>
          <w:tcPr>
            <w:tcW w:w="0" w:type="auto"/>
            <w:vAlign w:val="center"/>
          </w:tcPr>
          <w:p w14:paraId="3362B248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FBG (mg/dL) or HbA1c (%)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Points     Level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      No history of diabetes and FBG &lt;100 (or HbA1c &lt;5.7)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60        No diabetes and FBG 100–125 (or HbA1c 5.7–6.4) (prediabetes)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40        Diabetes with HbA1c &lt;7.0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30       Diabetes with HbA1c 7.0–7.9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20        Diabetes with HbA1c 8.0–8.9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        Diabetes with Hb A1c 9.0–9.9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  Diabetes with HbA1c ≥10.0</w:t>
            </w:r>
          </w:p>
        </w:tc>
      </w:tr>
      <w:tr w:rsidR="00BC7692" w:rsidRPr="00BC7692" w14:paraId="3382BBB9" w14:textId="77777777" w:rsidTr="009B6E2C">
        <w:tc>
          <w:tcPr>
            <w:tcW w:w="0" w:type="auto"/>
            <w:vMerge/>
            <w:vAlign w:val="center"/>
          </w:tcPr>
          <w:p w14:paraId="7550EA6E" w14:textId="77777777" w:rsidR="00BC7692" w:rsidRPr="00BC7692" w:rsidRDefault="00BC7692" w:rsidP="009B6E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3E83DC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0" w:type="auto"/>
            <w:vAlign w:val="center"/>
          </w:tcPr>
          <w:p w14:paraId="4555592D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Measurement: Appropriately measured systolic and diastolic BPs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Example tools for measurement: Appropriately sized BP cuff</w:t>
            </w:r>
          </w:p>
        </w:tc>
        <w:tc>
          <w:tcPr>
            <w:tcW w:w="0" w:type="auto"/>
            <w:vAlign w:val="center"/>
          </w:tcPr>
          <w:p w14:paraId="764AED69" w14:textId="77777777" w:rsidR="00BC7692" w:rsidRPr="00BC7692" w:rsidRDefault="00BC7692" w:rsidP="009B6E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Metric: Systolic and diastolic BPs (mm Hg)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Scoring: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Points     Level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100       &lt;120/&lt;80 (optimal)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75        120–129/&lt;80 (elevated)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50        130–139 or 80–89 (stage 1 hypertension)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25        140–159 or 90–99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0         ≥160 or ≥100</w:t>
            </w:r>
            <w:r w:rsidRPr="00BC76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Subtract 20 points if treated level</w:t>
            </w:r>
          </w:p>
        </w:tc>
      </w:tr>
    </w:tbl>
    <w:p w14:paraId="3968754F" w14:textId="77777777" w:rsidR="00BC7692" w:rsidRPr="00BC7692" w:rsidRDefault="00BC7692" w:rsidP="00BC7692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7692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lastRenderedPageBreak/>
        <w:t xml:space="preserve">Abbreviations: </w:t>
      </w:r>
      <w:r w:rsidRPr="00BC7692">
        <w:rPr>
          <w:rFonts w:ascii="Times New Roman" w:hAnsi="Times New Roman" w:cs="Times New Roman"/>
          <w:color w:val="000000" w:themeColor="text1"/>
          <w:sz w:val="20"/>
          <w:szCs w:val="20"/>
        </w:rPr>
        <w:t>CVH, cardiovascular health; DASH, Dietary Approaches to Stop Hypertension; MEPA, Mediterranean Eating Pattern for Americans; HEI, Healthy Eating Index; PA, physical activity; PAQ-K, Physical Activity Questionnaire K; NDS, Nicotine-Delivery System; SMQ, smoking assessment; BMI indicates body mass index; HDL, high-density lipoprotein; FBG, fasting blood glucose; HbA1c, hemoglobin A1c; and BP, blood pressure.</w:t>
      </w:r>
    </w:p>
    <w:p w14:paraId="760E8F04" w14:textId="77777777" w:rsidR="00BC7692" w:rsidRPr="00BC7692" w:rsidRDefault="00BC7692">
      <w:pPr>
        <w:rPr>
          <w:rFonts w:ascii="Times New Roman" w:hAnsi="Times New Roman" w:cs="Times New Roman"/>
        </w:rPr>
      </w:pPr>
    </w:p>
    <w:sectPr w:rsidR="00BC7692" w:rsidRPr="00BC7692" w:rsidSect="000E03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92"/>
    <w:rsid w:val="000E033D"/>
    <w:rsid w:val="004375C5"/>
    <w:rsid w:val="00BC7692"/>
    <w:rsid w:val="00C91293"/>
    <w:rsid w:val="00D9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1540E"/>
  <w15:chartTrackingRefBased/>
  <w15:docId w15:val="{E0CFE131-5F4B-4B59-BB25-B6E419A2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伟华 陈</dc:creator>
  <cp:keywords/>
  <dc:description/>
  <cp:lastModifiedBy>伟华 陈</cp:lastModifiedBy>
  <cp:revision>1</cp:revision>
  <dcterms:created xsi:type="dcterms:W3CDTF">2024-04-04T10:01:00Z</dcterms:created>
  <dcterms:modified xsi:type="dcterms:W3CDTF">2024-04-04T10:01:00Z</dcterms:modified>
</cp:coreProperties>
</file>