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4DD79" w14:textId="6EB47F76" w:rsidR="00FD3196" w:rsidRPr="004C0D5E" w:rsidRDefault="00FD3196" w:rsidP="004C0D5E">
      <w:pPr>
        <w:spacing w:after="0" w:line="360" w:lineRule="auto"/>
        <w:rPr>
          <w:rFonts w:ascii="Times New Roman" w:hAnsi="Times New Roman" w:cs="Times New Roman"/>
          <w:b/>
          <w:bCs/>
        </w:rPr>
      </w:pPr>
      <w:r>
        <w:rPr>
          <w:sz w:val="40"/>
          <w:szCs w:val="40"/>
        </w:rPr>
        <w:t xml:space="preserve"> </w:t>
      </w:r>
      <w:r w:rsidRPr="004C0D5E">
        <w:rPr>
          <w:rFonts w:ascii="Times New Roman" w:hAnsi="Times New Roman" w:cs="Times New Roman"/>
          <w:b/>
          <w:bCs/>
        </w:rPr>
        <w:t>Supplementary Data S1: Inclusion and Exclusion Criteria</w:t>
      </w:r>
    </w:p>
    <w:p w14:paraId="49AA9BB9" w14:textId="77777777" w:rsidR="00EB1222" w:rsidRPr="004C0D5E" w:rsidRDefault="00EB1222" w:rsidP="004C0D5E">
      <w:pPr>
        <w:spacing w:after="0" w:line="360" w:lineRule="auto"/>
        <w:rPr>
          <w:rFonts w:ascii="Times New Roman" w:hAnsi="Times New Roman" w:cs="Times New Roman"/>
        </w:rPr>
      </w:pPr>
    </w:p>
    <w:p w14:paraId="07F5192E" w14:textId="77777777" w:rsidR="00EB1222" w:rsidRPr="004C0D5E" w:rsidRDefault="00EB1222" w:rsidP="004C0D5E">
      <w:pPr>
        <w:spacing w:after="0" w:line="360" w:lineRule="auto"/>
        <w:rPr>
          <w:rFonts w:ascii="Times New Roman" w:hAnsi="Times New Roman" w:cs="Times New Roman"/>
          <w:u w:val="single"/>
        </w:rPr>
      </w:pPr>
      <w:r w:rsidRPr="004C0D5E">
        <w:rPr>
          <w:rFonts w:ascii="Times New Roman" w:hAnsi="Times New Roman" w:cs="Times New Roman"/>
          <w:u w:val="single"/>
        </w:rPr>
        <w:t xml:space="preserve">Inclusion Criteria </w:t>
      </w:r>
    </w:p>
    <w:p w14:paraId="60D3BE45" w14:textId="2D2643CE" w:rsidR="00EB1222" w:rsidRPr="004C0D5E" w:rsidRDefault="00EB1222" w:rsidP="004C0D5E">
      <w:pPr>
        <w:spacing w:after="0" w:line="360" w:lineRule="auto"/>
        <w:rPr>
          <w:rFonts w:ascii="Times New Roman" w:hAnsi="Times New Roman" w:cs="Times New Roman"/>
        </w:rPr>
      </w:pPr>
      <w:r w:rsidRPr="004C0D5E">
        <w:rPr>
          <w:rFonts w:ascii="Times New Roman" w:hAnsi="Times New Roman" w:cs="Times New Roman"/>
        </w:rPr>
        <w:t xml:space="preserve">A subject was eligible for enrolment in the study if he/she met </w:t>
      </w:r>
      <w:proofErr w:type="gramStart"/>
      <w:r w:rsidRPr="004C0D5E">
        <w:rPr>
          <w:rFonts w:ascii="Times New Roman" w:hAnsi="Times New Roman" w:cs="Times New Roman"/>
        </w:rPr>
        <w:t>all of</w:t>
      </w:r>
      <w:proofErr w:type="gramEnd"/>
      <w:r w:rsidRPr="004C0D5E">
        <w:rPr>
          <w:rFonts w:ascii="Times New Roman" w:hAnsi="Times New Roman" w:cs="Times New Roman"/>
        </w:rPr>
        <w:t xml:space="preserve"> the following criteria: </w:t>
      </w:r>
    </w:p>
    <w:p w14:paraId="36373EA0" w14:textId="1D3BC9C1" w:rsidR="00EB1222" w:rsidRPr="004C0D5E" w:rsidRDefault="00EB1222" w:rsidP="004C0D5E">
      <w:pPr>
        <w:pStyle w:val="ListParagraph"/>
        <w:numPr>
          <w:ilvl w:val="0"/>
          <w:numId w:val="11"/>
        </w:numPr>
        <w:spacing w:after="0" w:line="360" w:lineRule="auto"/>
        <w:rPr>
          <w:rFonts w:ascii="Times New Roman" w:hAnsi="Times New Roman" w:cs="Times New Roman"/>
        </w:rPr>
      </w:pPr>
      <w:r w:rsidRPr="004C0D5E">
        <w:rPr>
          <w:rFonts w:ascii="Times New Roman" w:hAnsi="Times New Roman" w:cs="Times New Roman"/>
        </w:rPr>
        <w:t xml:space="preserve">Male or female subjects aged 18 years or older who provided valid written informed consent. </w:t>
      </w:r>
    </w:p>
    <w:p w14:paraId="006A46A3" w14:textId="33443F9A" w:rsidR="00EB1222" w:rsidRPr="004C0D5E" w:rsidRDefault="00EB1222" w:rsidP="004C0D5E">
      <w:pPr>
        <w:pStyle w:val="ListParagraph"/>
        <w:numPr>
          <w:ilvl w:val="0"/>
          <w:numId w:val="11"/>
        </w:numPr>
        <w:spacing w:after="0" w:line="360" w:lineRule="auto"/>
        <w:rPr>
          <w:rFonts w:ascii="Times New Roman" w:hAnsi="Times New Roman" w:cs="Times New Roman"/>
        </w:rPr>
      </w:pPr>
      <w:r w:rsidRPr="004C0D5E">
        <w:rPr>
          <w:rFonts w:ascii="Times New Roman" w:hAnsi="Times New Roman" w:cs="Times New Roman"/>
        </w:rPr>
        <w:t xml:space="preserve">Subjects with a diagnosis of active RA who </w:t>
      </w:r>
      <w:r w:rsidR="000C7880" w:rsidRPr="004C0D5E">
        <w:rPr>
          <w:rFonts w:ascii="Times New Roman" w:hAnsi="Times New Roman" w:cs="Times New Roman"/>
        </w:rPr>
        <w:t>were</w:t>
      </w:r>
      <w:r w:rsidRPr="004C0D5E">
        <w:rPr>
          <w:rFonts w:ascii="Times New Roman" w:hAnsi="Times New Roman" w:cs="Times New Roman"/>
        </w:rPr>
        <w:t xml:space="preserve"> eligible for the subsequent treatment course with US-rituximab or EU-rituximab according to the clinical judgment of the investigator. </w:t>
      </w:r>
    </w:p>
    <w:p w14:paraId="08248BC6" w14:textId="3F5D73F9" w:rsidR="00EB1222" w:rsidRPr="004C0D5E" w:rsidRDefault="00EB1222" w:rsidP="004C0D5E">
      <w:pPr>
        <w:pStyle w:val="ListParagraph"/>
        <w:numPr>
          <w:ilvl w:val="0"/>
          <w:numId w:val="11"/>
        </w:numPr>
        <w:spacing w:after="0" w:line="360" w:lineRule="auto"/>
        <w:rPr>
          <w:rFonts w:ascii="Times New Roman" w:hAnsi="Times New Roman" w:cs="Times New Roman"/>
        </w:rPr>
      </w:pPr>
      <w:r w:rsidRPr="004C0D5E">
        <w:rPr>
          <w:rFonts w:ascii="Times New Roman" w:hAnsi="Times New Roman" w:cs="Times New Roman"/>
        </w:rPr>
        <w:t xml:space="preserve">Documented evidence that subject </w:t>
      </w:r>
      <w:r w:rsidR="000C7880" w:rsidRPr="004C0D5E">
        <w:rPr>
          <w:rFonts w:ascii="Times New Roman" w:hAnsi="Times New Roman" w:cs="Times New Roman"/>
        </w:rPr>
        <w:t>had</w:t>
      </w:r>
      <w:r w:rsidRPr="004C0D5E">
        <w:rPr>
          <w:rFonts w:ascii="Times New Roman" w:hAnsi="Times New Roman" w:cs="Times New Roman"/>
        </w:rPr>
        <w:t xml:space="preserve"> received at least 1 full course comprising two 1000 mg infusions of either US-rituximab at least 16 weeks prior to the randomization visit or EU-rituximab at least 24 weeks prior to the day of randomization visit. </w:t>
      </w:r>
    </w:p>
    <w:p w14:paraId="56362C9C" w14:textId="00354F02" w:rsidR="00EB1222" w:rsidRPr="004C0D5E" w:rsidRDefault="00EB1222" w:rsidP="004C0D5E">
      <w:pPr>
        <w:pStyle w:val="ListParagraph"/>
        <w:spacing w:after="0" w:line="360" w:lineRule="auto"/>
        <w:rPr>
          <w:rFonts w:ascii="Times New Roman" w:hAnsi="Times New Roman" w:cs="Times New Roman"/>
        </w:rPr>
      </w:pPr>
      <w:r w:rsidRPr="004C0D5E">
        <w:rPr>
          <w:rFonts w:ascii="Times New Roman" w:hAnsi="Times New Roman" w:cs="Times New Roman"/>
        </w:rPr>
        <w:t xml:space="preserve">Note: Subjects </w:t>
      </w:r>
      <w:r w:rsidR="000C7880" w:rsidRPr="004C0D5E">
        <w:rPr>
          <w:rFonts w:ascii="Times New Roman" w:hAnsi="Times New Roman" w:cs="Times New Roman"/>
        </w:rPr>
        <w:t>were</w:t>
      </w:r>
      <w:r w:rsidRPr="004C0D5E">
        <w:rPr>
          <w:rFonts w:ascii="Times New Roman" w:hAnsi="Times New Roman" w:cs="Times New Roman"/>
        </w:rPr>
        <w:t xml:space="preserve"> only eligible if they </w:t>
      </w:r>
      <w:r w:rsidR="000C7880" w:rsidRPr="004C0D5E">
        <w:rPr>
          <w:rFonts w:ascii="Times New Roman" w:hAnsi="Times New Roman" w:cs="Times New Roman"/>
        </w:rPr>
        <w:t>had</w:t>
      </w:r>
      <w:r w:rsidRPr="004C0D5E">
        <w:rPr>
          <w:rFonts w:ascii="Times New Roman" w:hAnsi="Times New Roman" w:cs="Times New Roman"/>
        </w:rPr>
        <w:t xml:space="preserve"> received the prior US or EU-rituximab course within the 15 months prior to the date of randomization. </w:t>
      </w:r>
    </w:p>
    <w:p w14:paraId="775A5155" w14:textId="05FFCB1E" w:rsidR="00EB1222" w:rsidRPr="004C0D5E" w:rsidRDefault="00EB1222" w:rsidP="004C0D5E">
      <w:pPr>
        <w:pStyle w:val="ListParagraph"/>
        <w:numPr>
          <w:ilvl w:val="0"/>
          <w:numId w:val="11"/>
        </w:numPr>
        <w:spacing w:after="0" w:line="360" w:lineRule="auto"/>
        <w:rPr>
          <w:rFonts w:ascii="Times New Roman" w:hAnsi="Times New Roman" w:cs="Times New Roman"/>
        </w:rPr>
      </w:pPr>
      <w:r w:rsidRPr="004C0D5E">
        <w:rPr>
          <w:rFonts w:ascii="Times New Roman" w:hAnsi="Times New Roman" w:cs="Times New Roman"/>
        </w:rPr>
        <w:t>Subjects receiving a stable dose of weekly MTX for at least 4 weeks prior to randomization (between 7.5 mg and 25 mg) and folic acid (at least 5 mg per wee</w:t>
      </w:r>
      <w:r w:rsidR="000C7880" w:rsidRPr="004C0D5E">
        <w:rPr>
          <w:rFonts w:ascii="Times New Roman" w:hAnsi="Times New Roman" w:cs="Times New Roman"/>
        </w:rPr>
        <w:t xml:space="preserve">k). </w:t>
      </w:r>
    </w:p>
    <w:p w14:paraId="41EE621E" w14:textId="77777777" w:rsidR="00085867" w:rsidRPr="004C0D5E" w:rsidRDefault="00085867" w:rsidP="004C0D5E">
      <w:pPr>
        <w:spacing w:after="0" w:line="360" w:lineRule="auto"/>
        <w:rPr>
          <w:rFonts w:ascii="Times New Roman" w:hAnsi="Times New Roman" w:cs="Times New Roman"/>
          <w:u w:val="single"/>
        </w:rPr>
      </w:pPr>
      <w:r w:rsidRPr="004C0D5E">
        <w:rPr>
          <w:rFonts w:ascii="Times New Roman" w:hAnsi="Times New Roman" w:cs="Times New Roman"/>
          <w:u w:val="single"/>
        </w:rPr>
        <w:t xml:space="preserve">Exclusion Criteria </w:t>
      </w:r>
    </w:p>
    <w:p w14:paraId="7136EE77" w14:textId="1739757F" w:rsidR="00085867" w:rsidRPr="004C0D5E" w:rsidRDefault="00085867" w:rsidP="004C0D5E">
      <w:pPr>
        <w:spacing w:after="0" w:line="360" w:lineRule="auto"/>
        <w:rPr>
          <w:rFonts w:ascii="Times New Roman" w:hAnsi="Times New Roman" w:cs="Times New Roman"/>
        </w:rPr>
      </w:pPr>
      <w:r w:rsidRPr="004C0D5E">
        <w:rPr>
          <w:rFonts w:ascii="Times New Roman" w:hAnsi="Times New Roman" w:cs="Times New Roman"/>
        </w:rPr>
        <w:t xml:space="preserve">Subjects meeting any of the following criteria were not enrolled in the study: </w:t>
      </w:r>
    </w:p>
    <w:p w14:paraId="09D7768A" w14:textId="73EA0A07" w:rsidR="00A234F8" w:rsidRPr="004C0D5E" w:rsidRDefault="00085867"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Subjects with RA in functional Class IV</w:t>
      </w:r>
      <w:r w:rsidR="00A234F8" w:rsidRPr="004C0D5E">
        <w:rPr>
          <w:rFonts w:ascii="Times New Roman" w:hAnsi="Times New Roman" w:cs="Times New Roman"/>
        </w:rPr>
        <w:t>.</w:t>
      </w:r>
    </w:p>
    <w:p w14:paraId="29EB40E2" w14:textId="3564E71C"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Subjects with human immunodeficiency virus (positive HIV1Ab or HIV2Ab), hepatitis B virus and/or hepatitis C virus infection, including those with positive results in the viral disease screening. </w:t>
      </w:r>
    </w:p>
    <w:p w14:paraId="4124F325" w14:textId="648D2550"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Subjects with active tuberculosis (TB). Subjects with evidence of latent TB or a history of TB must have completed treatment or have initiated treatment for at least 1 month before the first dose of study treatment (Day 1). TB testing was required only if it is required by local regulations or practice. </w:t>
      </w:r>
    </w:p>
    <w:p w14:paraId="4190B280" w14:textId="3B729FEF"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Active systemic infection. </w:t>
      </w:r>
    </w:p>
    <w:p w14:paraId="671CAD18" w14:textId="149E4EA8"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Severely immunocompromised. </w:t>
      </w:r>
    </w:p>
    <w:p w14:paraId="52294E54" w14:textId="2F9E4876"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History of hypersensitivity to either US-rituximab or EU-rituximab or any of its excipients. </w:t>
      </w:r>
    </w:p>
    <w:p w14:paraId="15AED9D7" w14:textId="2BDE9A86"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Any serious illness or uncontrolled medical condition, including, but not limited to, severe infections, significant hepatic or renal disease, uncontrolled hypertension despite treatment (defined as blood pressure [BP] ≥160/95 mmHg), congestive heart failure (New York Heart Association [NYHA] Class III or IV), or other severe uncontrolled cardiac disease or uncontrolled diabetes with immediate risk of acute complications. </w:t>
      </w:r>
    </w:p>
    <w:p w14:paraId="6FE7C11A" w14:textId="72BF2A81"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Any condition that in the opinion of the investigator represented an obstacle for study conduct and/or represent</w:t>
      </w:r>
      <w:r w:rsidR="00BE1663" w:rsidRPr="004C0D5E">
        <w:rPr>
          <w:rFonts w:ascii="Times New Roman" w:hAnsi="Times New Roman" w:cs="Times New Roman"/>
        </w:rPr>
        <w:t xml:space="preserve">ed </w:t>
      </w:r>
      <w:r w:rsidRPr="004C0D5E">
        <w:rPr>
          <w:rFonts w:ascii="Times New Roman" w:hAnsi="Times New Roman" w:cs="Times New Roman"/>
        </w:rPr>
        <w:t xml:space="preserve">a potential unacceptable risk for subjects. </w:t>
      </w:r>
    </w:p>
    <w:p w14:paraId="28E804E6" w14:textId="3BFAAF0F"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Requires treatment with any biological medicinal product during the study other than the study treatment. </w:t>
      </w:r>
    </w:p>
    <w:p w14:paraId="6810A82B" w14:textId="785A2D36"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lastRenderedPageBreak/>
        <w:t xml:space="preserve">Previous treatment with B-cell modulating or cell-depleting biologic therapy, except US-rituximab or EU-rituximab. </w:t>
      </w:r>
    </w:p>
    <w:p w14:paraId="621077CC" w14:textId="1E130BE1"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Prior participation in this clinical trial or prior participation in any clinical trial with any monoclonal antibody within 12 months of screening or prior participation in any clinical trial within 3 months of screening or within 5 half-lives of the investigational drug or until the expected PD effect ha</w:t>
      </w:r>
      <w:r w:rsidR="00BE1663" w:rsidRPr="004C0D5E">
        <w:rPr>
          <w:rFonts w:ascii="Times New Roman" w:hAnsi="Times New Roman" w:cs="Times New Roman"/>
        </w:rPr>
        <w:t>d</w:t>
      </w:r>
      <w:r w:rsidRPr="004C0D5E">
        <w:rPr>
          <w:rFonts w:ascii="Times New Roman" w:hAnsi="Times New Roman" w:cs="Times New Roman"/>
        </w:rPr>
        <w:t xml:space="preserve"> returned to baseline, whichever </w:t>
      </w:r>
      <w:r w:rsidR="00BE1663" w:rsidRPr="004C0D5E">
        <w:rPr>
          <w:rFonts w:ascii="Times New Roman" w:hAnsi="Times New Roman" w:cs="Times New Roman"/>
        </w:rPr>
        <w:t>was</w:t>
      </w:r>
      <w:r w:rsidRPr="004C0D5E">
        <w:rPr>
          <w:rFonts w:ascii="Times New Roman" w:hAnsi="Times New Roman" w:cs="Times New Roman"/>
        </w:rPr>
        <w:t xml:space="preserve"> longer. </w:t>
      </w:r>
    </w:p>
    <w:p w14:paraId="2CD0C8D1" w14:textId="3E18ACEA" w:rsidR="00A234F8" w:rsidRPr="004C0D5E" w:rsidRDefault="00A234F8"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Treatment with other biologic DMARDs, or Janus kinase (JAK) inhibitors administered within 12 weeks before the first dose of rituximab of the prior treatment course onwards till the date of randomi</w:t>
      </w:r>
      <w:r w:rsidR="00FA08DC" w:rsidRPr="004C0D5E">
        <w:rPr>
          <w:rFonts w:ascii="Times New Roman" w:hAnsi="Times New Roman" w:cs="Times New Roman"/>
        </w:rPr>
        <w:t>zation</w:t>
      </w:r>
    </w:p>
    <w:p w14:paraId="48BC2DC9" w14:textId="77777777" w:rsidR="00FA08DC" w:rsidRPr="004C0D5E" w:rsidRDefault="00FA08DC"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Subjects with the following laboratory abnormalities:</w:t>
      </w:r>
    </w:p>
    <w:p w14:paraId="1C42CC20" w14:textId="77777777" w:rsidR="00FA08DC" w:rsidRPr="004C0D5E" w:rsidRDefault="00FA08DC" w:rsidP="004C0D5E">
      <w:pPr>
        <w:pStyle w:val="ListParagraph"/>
        <w:numPr>
          <w:ilvl w:val="0"/>
          <w:numId w:val="14"/>
        </w:numPr>
        <w:spacing w:after="0" w:line="360" w:lineRule="auto"/>
        <w:rPr>
          <w:rFonts w:ascii="Times New Roman" w:hAnsi="Times New Roman" w:cs="Times New Roman"/>
        </w:rPr>
      </w:pPr>
      <w:r w:rsidRPr="004C0D5E">
        <w:rPr>
          <w:rFonts w:ascii="Times New Roman" w:hAnsi="Times New Roman" w:cs="Times New Roman"/>
        </w:rPr>
        <w:t xml:space="preserve">Subjects with screening total white blood cell count &lt;3000/µL, platelets &lt;100,000/µL, neutrophils &lt;1500/µL, or </w:t>
      </w:r>
      <w:proofErr w:type="spellStart"/>
      <w:r w:rsidRPr="004C0D5E">
        <w:rPr>
          <w:rFonts w:ascii="Times New Roman" w:hAnsi="Times New Roman" w:cs="Times New Roman"/>
        </w:rPr>
        <w:t>hemoglobin</w:t>
      </w:r>
      <w:proofErr w:type="spellEnd"/>
      <w:r w:rsidRPr="004C0D5E">
        <w:rPr>
          <w:rFonts w:ascii="Times New Roman" w:hAnsi="Times New Roman" w:cs="Times New Roman"/>
        </w:rPr>
        <w:t xml:space="preserve"> &lt;8.5 g/dL.</w:t>
      </w:r>
    </w:p>
    <w:p w14:paraId="0EBDFF30" w14:textId="77777777" w:rsidR="00FA08DC" w:rsidRPr="004C0D5E" w:rsidRDefault="00FA08DC" w:rsidP="004C0D5E">
      <w:pPr>
        <w:pStyle w:val="ListParagraph"/>
        <w:numPr>
          <w:ilvl w:val="0"/>
          <w:numId w:val="14"/>
        </w:numPr>
        <w:spacing w:after="0" w:line="360" w:lineRule="auto"/>
        <w:rPr>
          <w:rFonts w:ascii="Times New Roman" w:hAnsi="Times New Roman" w:cs="Times New Roman"/>
        </w:rPr>
      </w:pPr>
      <w:r w:rsidRPr="004C0D5E">
        <w:rPr>
          <w:rFonts w:ascii="Times New Roman" w:hAnsi="Times New Roman" w:cs="Times New Roman"/>
        </w:rPr>
        <w:t>Abnormal liver function tests such as aspartate aminotransferase, alanine aminotransferase, or alkaline phosphatase &gt;2 × upper limit of normal (ULN). A single parameter &gt;2 × ULN can be re-checked as soon as possible, at least prior to randomization, if required as per the investigator’s discretion.</w:t>
      </w:r>
    </w:p>
    <w:p w14:paraId="2B127B43" w14:textId="0CAE1DE8" w:rsidR="00FA08DC" w:rsidRPr="004C0D5E" w:rsidRDefault="00FA08DC" w:rsidP="004C0D5E">
      <w:pPr>
        <w:pStyle w:val="ListParagraph"/>
        <w:numPr>
          <w:ilvl w:val="0"/>
          <w:numId w:val="14"/>
        </w:numPr>
        <w:spacing w:after="0" w:line="360" w:lineRule="auto"/>
        <w:rPr>
          <w:rFonts w:ascii="Times New Roman" w:hAnsi="Times New Roman" w:cs="Times New Roman"/>
        </w:rPr>
      </w:pPr>
      <w:r w:rsidRPr="004C0D5E">
        <w:rPr>
          <w:rFonts w:ascii="Times New Roman" w:hAnsi="Times New Roman" w:cs="Times New Roman"/>
        </w:rPr>
        <w:t>Creatinine clearance (Cockcroft &amp; Gault formula) of less than 50 mL/min.</w:t>
      </w:r>
    </w:p>
    <w:p w14:paraId="7F0F7B33" w14:textId="39CF5068" w:rsidR="00FA08DC" w:rsidRPr="004C0D5E" w:rsidRDefault="00FA08DC"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History of vaccination with live vaccines within 4 weeks of the first dose of study treatment (Day 1) or known to require live vaccines during the study.</w:t>
      </w:r>
    </w:p>
    <w:p w14:paraId="66B1CD39" w14:textId="0B11E87C" w:rsidR="00FA08DC" w:rsidRPr="004C0D5E" w:rsidRDefault="00FA08DC"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Lactating or pregnant female.</w:t>
      </w:r>
    </w:p>
    <w:p w14:paraId="737027F0" w14:textId="77777777" w:rsidR="00A77D1C" w:rsidRPr="004C0D5E" w:rsidRDefault="00A77D1C"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Women of childbearing potential who do not consent to use highly effective methods of birth control during treatment and for at least 12 months after the last administration of study treatment.</w:t>
      </w:r>
    </w:p>
    <w:p w14:paraId="3152AE07" w14:textId="44DFA254" w:rsidR="00A234F8" w:rsidRPr="004C0D5E" w:rsidRDefault="00A77D1C" w:rsidP="004C0D5E">
      <w:pPr>
        <w:pStyle w:val="ListParagraph"/>
        <w:spacing w:after="0" w:line="360" w:lineRule="auto"/>
        <w:rPr>
          <w:rFonts w:ascii="Times New Roman" w:hAnsi="Times New Roman" w:cs="Times New Roman"/>
        </w:rPr>
      </w:pPr>
      <w:r w:rsidRPr="004C0D5E">
        <w:rPr>
          <w:rFonts w:ascii="Times New Roman" w:hAnsi="Times New Roman" w:cs="Times New Roman"/>
        </w:rPr>
        <w:t>Note: Per the Clinical Trial Facilitation Group (CTFG) guidelines 2014, a woman is considered of childbearing potential if fertile, following menarche until becoming postmenopausal (i.e., no menses for 12 months without an alternative medical cause) unless permanently sterile through hysterectomy, bilateral salpingectomy, and bilateral oophorectomy). Highly effective birth control measures per CTFG guidelines 2014 include the following:</w:t>
      </w:r>
    </w:p>
    <w:p w14:paraId="2C524B7B" w14:textId="77777777" w:rsidR="0041331B" w:rsidRPr="004C0D5E" w:rsidRDefault="00A77D1C" w:rsidP="004C0D5E">
      <w:pPr>
        <w:pStyle w:val="ListParagraph"/>
        <w:numPr>
          <w:ilvl w:val="0"/>
          <w:numId w:val="15"/>
        </w:numPr>
        <w:spacing w:after="0" w:line="360" w:lineRule="auto"/>
        <w:rPr>
          <w:rFonts w:ascii="Times New Roman" w:hAnsi="Times New Roman" w:cs="Times New Roman"/>
        </w:rPr>
      </w:pPr>
      <w:r w:rsidRPr="004C0D5E">
        <w:rPr>
          <w:rFonts w:ascii="Times New Roman" w:hAnsi="Times New Roman" w:cs="Times New Roman"/>
        </w:rPr>
        <w:t>combined (</w:t>
      </w:r>
      <w:proofErr w:type="spellStart"/>
      <w:r w:rsidRPr="004C0D5E">
        <w:rPr>
          <w:rFonts w:ascii="Times New Roman" w:hAnsi="Times New Roman" w:cs="Times New Roman"/>
        </w:rPr>
        <w:t>estrogen</w:t>
      </w:r>
      <w:proofErr w:type="spellEnd"/>
      <w:r w:rsidRPr="004C0D5E">
        <w:rPr>
          <w:rFonts w:ascii="Times New Roman" w:hAnsi="Times New Roman" w:cs="Times New Roman"/>
        </w:rPr>
        <w:t xml:space="preserve"> and progestogen containing) hormonal contraception associated with inhibition of ovulation - oral, intravaginal, and transdermal </w:t>
      </w:r>
    </w:p>
    <w:p w14:paraId="7CB2F4AE" w14:textId="77777777" w:rsidR="0041331B" w:rsidRPr="004C0D5E" w:rsidRDefault="00A77D1C" w:rsidP="004C0D5E">
      <w:pPr>
        <w:pStyle w:val="ListParagraph"/>
        <w:numPr>
          <w:ilvl w:val="0"/>
          <w:numId w:val="15"/>
        </w:numPr>
        <w:spacing w:after="0" w:line="360" w:lineRule="auto"/>
        <w:rPr>
          <w:rFonts w:ascii="Times New Roman" w:hAnsi="Times New Roman" w:cs="Times New Roman"/>
        </w:rPr>
      </w:pPr>
      <w:r w:rsidRPr="004C0D5E">
        <w:rPr>
          <w:rFonts w:ascii="Times New Roman" w:hAnsi="Times New Roman" w:cs="Times New Roman"/>
        </w:rPr>
        <w:t xml:space="preserve">progestogen-only hormonal contraception associated with inhibition of ovulation - oral, injectable, and implantable </w:t>
      </w:r>
    </w:p>
    <w:p w14:paraId="1269BF6B" w14:textId="77777777" w:rsidR="0041331B" w:rsidRPr="004C0D5E" w:rsidRDefault="00A77D1C" w:rsidP="004C0D5E">
      <w:pPr>
        <w:pStyle w:val="ListParagraph"/>
        <w:numPr>
          <w:ilvl w:val="0"/>
          <w:numId w:val="15"/>
        </w:numPr>
        <w:spacing w:after="0" w:line="360" w:lineRule="auto"/>
        <w:rPr>
          <w:rFonts w:ascii="Times New Roman" w:hAnsi="Times New Roman" w:cs="Times New Roman"/>
        </w:rPr>
      </w:pPr>
      <w:r w:rsidRPr="004C0D5E">
        <w:rPr>
          <w:rFonts w:ascii="Times New Roman" w:hAnsi="Times New Roman" w:cs="Times New Roman"/>
        </w:rPr>
        <w:t xml:space="preserve">intrauterine device </w:t>
      </w:r>
    </w:p>
    <w:p w14:paraId="7F6B9BD8" w14:textId="77777777" w:rsidR="0041331B" w:rsidRPr="004C0D5E" w:rsidRDefault="00A77D1C" w:rsidP="004C0D5E">
      <w:pPr>
        <w:pStyle w:val="ListParagraph"/>
        <w:numPr>
          <w:ilvl w:val="0"/>
          <w:numId w:val="15"/>
        </w:numPr>
        <w:spacing w:after="0" w:line="360" w:lineRule="auto"/>
        <w:rPr>
          <w:rFonts w:ascii="Times New Roman" w:hAnsi="Times New Roman" w:cs="Times New Roman"/>
        </w:rPr>
      </w:pPr>
      <w:r w:rsidRPr="004C0D5E">
        <w:rPr>
          <w:rFonts w:ascii="Times New Roman" w:hAnsi="Times New Roman" w:cs="Times New Roman"/>
        </w:rPr>
        <w:t xml:space="preserve">intrauterine hormone-releasing system </w:t>
      </w:r>
    </w:p>
    <w:p w14:paraId="2DEED4A2" w14:textId="77777777" w:rsidR="0041331B" w:rsidRPr="004C0D5E" w:rsidRDefault="00A77D1C" w:rsidP="004C0D5E">
      <w:pPr>
        <w:pStyle w:val="ListParagraph"/>
        <w:numPr>
          <w:ilvl w:val="0"/>
          <w:numId w:val="15"/>
        </w:numPr>
        <w:spacing w:after="0" w:line="360" w:lineRule="auto"/>
        <w:rPr>
          <w:rFonts w:ascii="Times New Roman" w:hAnsi="Times New Roman" w:cs="Times New Roman"/>
        </w:rPr>
      </w:pPr>
      <w:r w:rsidRPr="004C0D5E">
        <w:rPr>
          <w:rFonts w:ascii="Times New Roman" w:hAnsi="Times New Roman" w:cs="Times New Roman"/>
        </w:rPr>
        <w:t xml:space="preserve">bilateral tubal </w:t>
      </w:r>
      <w:r w:rsidR="00BC0312" w:rsidRPr="004C0D5E">
        <w:rPr>
          <w:rFonts w:ascii="Times New Roman" w:hAnsi="Times New Roman" w:cs="Times New Roman"/>
        </w:rPr>
        <w:t>occlusion</w:t>
      </w:r>
    </w:p>
    <w:p w14:paraId="5F074BD7" w14:textId="77777777" w:rsidR="0041331B" w:rsidRPr="004C0D5E" w:rsidRDefault="00BC0312" w:rsidP="004C0D5E">
      <w:pPr>
        <w:pStyle w:val="ListParagraph"/>
        <w:numPr>
          <w:ilvl w:val="0"/>
          <w:numId w:val="15"/>
        </w:numPr>
        <w:spacing w:after="0" w:line="360" w:lineRule="auto"/>
        <w:rPr>
          <w:rFonts w:ascii="Times New Roman" w:hAnsi="Times New Roman" w:cs="Times New Roman"/>
        </w:rPr>
      </w:pPr>
      <w:r w:rsidRPr="004C0D5E">
        <w:rPr>
          <w:rFonts w:ascii="Times New Roman" w:hAnsi="Times New Roman" w:cs="Times New Roman"/>
        </w:rPr>
        <w:t>vasectomised partner</w:t>
      </w:r>
    </w:p>
    <w:p w14:paraId="31FDB180" w14:textId="2450CA7C" w:rsidR="00A77D1C" w:rsidRPr="004C0D5E" w:rsidRDefault="00BC0312" w:rsidP="004C0D5E">
      <w:pPr>
        <w:pStyle w:val="ListParagraph"/>
        <w:numPr>
          <w:ilvl w:val="0"/>
          <w:numId w:val="15"/>
        </w:numPr>
        <w:spacing w:after="0" w:line="360" w:lineRule="auto"/>
        <w:rPr>
          <w:rFonts w:ascii="Times New Roman" w:hAnsi="Times New Roman" w:cs="Times New Roman"/>
        </w:rPr>
      </w:pPr>
      <w:r w:rsidRPr="004C0D5E">
        <w:rPr>
          <w:rFonts w:ascii="Times New Roman" w:hAnsi="Times New Roman" w:cs="Times New Roman"/>
        </w:rPr>
        <w:lastRenderedPageBreak/>
        <w:t>sexual abstinence</w:t>
      </w:r>
    </w:p>
    <w:p w14:paraId="4E6ADB96" w14:textId="66D8D4DE" w:rsidR="00B358B1" w:rsidRPr="004C0D5E" w:rsidRDefault="0041331B" w:rsidP="004C0D5E">
      <w:pPr>
        <w:pStyle w:val="ListParagraph"/>
        <w:spacing w:after="0" w:line="360" w:lineRule="auto"/>
        <w:rPr>
          <w:rFonts w:ascii="Times New Roman" w:hAnsi="Times New Roman" w:cs="Times New Roman"/>
        </w:rPr>
      </w:pPr>
      <w:r w:rsidRPr="004C0D5E">
        <w:rPr>
          <w:rFonts w:ascii="Times New Roman" w:hAnsi="Times New Roman" w:cs="Times New Roman"/>
        </w:rPr>
        <w:t>Site should advise subjects to use any of the methods listed above, or per the country/site-specific requirements.</w:t>
      </w:r>
    </w:p>
    <w:p w14:paraId="7476D64A" w14:textId="508E3A37" w:rsidR="00B358B1" w:rsidRPr="004C0D5E" w:rsidRDefault="00B358B1"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Sexually active male subjects unless permanently sterile by bilateral orchidectomy, who </w:t>
      </w:r>
      <w:r w:rsidR="00E47A53" w:rsidRPr="004C0D5E">
        <w:rPr>
          <w:rFonts w:ascii="Times New Roman" w:hAnsi="Times New Roman" w:cs="Times New Roman"/>
        </w:rPr>
        <w:t>did</w:t>
      </w:r>
      <w:r w:rsidRPr="004C0D5E">
        <w:rPr>
          <w:rFonts w:ascii="Times New Roman" w:hAnsi="Times New Roman" w:cs="Times New Roman"/>
        </w:rPr>
        <w:t xml:space="preserve"> not agree to use 1 of the highly effective methods of birth control listed in Exclusion Criterion #16 during treatment and for at least 12 months after the last administration of study treatment. </w:t>
      </w:r>
    </w:p>
    <w:p w14:paraId="0E07DC0F" w14:textId="5DFBFF6D" w:rsidR="00B358B1" w:rsidRPr="004C0D5E" w:rsidRDefault="00B358B1" w:rsidP="004C0D5E">
      <w:pPr>
        <w:pStyle w:val="ListParagraph"/>
        <w:numPr>
          <w:ilvl w:val="0"/>
          <w:numId w:val="13"/>
        </w:numPr>
        <w:spacing w:after="0" w:line="360" w:lineRule="auto"/>
        <w:rPr>
          <w:rFonts w:ascii="Times New Roman" w:hAnsi="Times New Roman" w:cs="Times New Roman"/>
        </w:rPr>
      </w:pPr>
      <w:r w:rsidRPr="004C0D5E">
        <w:rPr>
          <w:rFonts w:ascii="Times New Roman" w:hAnsi="Times New Roman" w:cs="Times New Roman"/>
        </w:rPr>
        <w:t xml:space="preserve">Subjects with serum IgG &lt;LLN. </w:t>
      </w:r>
    </w:p>
    <w:p w14:paraId="1A08A4B6" w14:textId="77777777" w:rsidR="0041331B" w:rsidRPr="00B358B1" w:rsidRDefault="0041331B" w:rsidP="00B358B1">
      <w:pPr>
        <w:ind w:left="360"/>
        <w:rPr>
          <w:sz w:val="24"/>
          <w:szCs w:val="24"/>
        </w:rPr>
      </w:pPr>
    </w:p>
    <w:p w14:paraId="45426114" w14:textId="77777777" w:rsidR="00A77D1C" w:rsidRPr="00BC0312" w:rsidRDefault="00A77D1C" w:rsidP="00A77D1C">
      <w:pPr>
        <w:pStyle w:val="ListParagraph"/>
        <w:rPr>
          <w:sz w:val="24"/>
          <w:szCs w:val="24"/>
        </w:rPr>
      </w:pPr>
    </w:p>
    <w:p w14:paraId="1364D6BA" w14:textId="77777777" w:rsidR="0064274A" w:rsidRPr="0064274A" w:rsidRDefault="0064274A">
      <w:pPr>
        <w:rPr>
          <w:color w:val="FF0000"/>
          <w:sz w:val="24"/>
          <w:szCs w:val="24"/>
        </w:rPr>
      </w:pPr>
    </w:p>
    <w:sectPr w:rsidR="0064274A" w:rsidRPr="006427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54474" w14:textId="77777777" w:rsidR="00234C57" w:rsidRDefault="00234C57" w:rsidP="009A323E">
      <w:pPr>
        <w:spacing w:after="0" w:line="240" w:lineRule="auto"/>
      </w:pPr>
      <w:r>
        <w:separator/>
      </w:r>
    </w:p>
  </w:endnote>
  <w:endnote w:type="continuationSeparator" w:id="0">
    <w:p w14:paraId="67971FA8" w14:textId="77777777" w:rsidR="00234C57" w:rsidRDefault="00234C57" w:rsidP="009A3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6881B" w14:textId="77777777" w:rsidR="00234C57" w:rsidRDefault="00234C57" w:rsidP="009A323E">
      <w:pPr>
        <w:spacing w:after="0" w:line="240" w:lineRule="auto"/>
      </w:pPr>
      <w:r>
        <w:separator/>
      </w:r>
    </w:p>
  </w:footnote>
  <w:footnote w:type="continuationSeparator" w:id="0">
    <w:p w14:paraId="464E4064" w14:textId="77777777" w:rsidR="00234C57" w:rsidRDefault="00234C57" w:rsidP="009A32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D5435"/>
    <w:multiLevelType w:val="hybridMultilevel"/>
    <w:tmpl w:val="9B942A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796F19"/>
    <w:multiLevelType w:val="hybridMultilevel"/>
    <w:tmpl w:val="E6D61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345DA7"/>
    <w:multiLevelType w:val="hybridMultilevel"/>
    <w:tmpl w:val="1128AD0E"/>
    <w:lvl w:ilvl="0" w:tplc="834A0E8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4124AE"/>
    <w:multiLevelType w:val="hybridMultilevel"/>
    <w:tmpl w:val="DEFAA50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233F5C26"/>
    <w:multiLevelType w:val="hybridMultilevel"/>
    <w:tmpl w:val="BB565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B313F"/>
    <w:multiLevelType w:val="hybridMultilevel"/>
    <w:tmpl w:val="BD16A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500F93"/>
    <w:multiLevelType w:val="hybridMultilevel"/>
    <w:tmpl w:val="592EBCB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404F5F2F"/>
    <w:multiLevelType w:val="hybridMultilevel"/>
    <w:tmpl w:val="AC2826A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48E07793"/>
    <w:multiLevelType w:val="hybridMultilevel"/>
    <w:tmpl w:val="81DC79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DD2706"/>
    <w:multiLevelType w:val="hybridMultilevel"/>
    <w:tmpl w:val="F24E4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A4455B"/>
    <w:multiLevelType w:val="hybridMultilevel"/>
    <w:tmpl w:val="0D561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700983"/>
    <w:multiLevelType w:val="hybridMultilevel"/>
    <w:tmpl w:val="81DC7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8B166A"/>
    <w:multiLevelType w:val="hybridMultilevel"/>
    <w:tmpl w:val="0AD839FE"/>
    <w:lvl w:ilvl="0" w:tplc="BB44A2E0">
      <w:start w:val="1"/>
      <w:numFmt w:val="bullet"/>
      <w:lvlText w:val="-"/>
      <w:lvlJc w:val="left"/>
      <w:pPr>
        <w:ind w:left="3600" w:hanging="360"/>
      </w:pPr>
      <w:rPr>
        <w:rFonts w:ascii="Calibri" w:eastAsiaTheme="minorHAnsi" w:hAnsi="Calibri" w:cs="Calibri"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3" w15:restartNumberingAfterBreak="0">
    <w:nsid w:val="720905C0"/>
    <w:multiLevelType w:val="hybridMultilevel"/>
    <w:tmpl w:val="EC8C41C0"/>
    <w:lvl w:ilvl="0" w:tplc="BB44A2E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23306"/>
    <w:multiLevelType w:val="hybridMultilevel"/>
    <w:tmpl w:val="45BED996"/>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16cid:durableId="361708019">
    <w:abstractNumId w:val="9"/>
  </w:num>
  <w:num w:numId="2" w16cid:durableId="2061401044">
    <w:abstractNumId w:val="7"/>
  </w:num>
  <w:num w:numId="3" w16cid:durableId="1556044412">
    <w:abstractNumId w:val="3"/>
  </w:num>
  <w:num w:numId="4" w16cid:durableId="52780582">
    <w:abstractNumId w:val="6"/>
  </w:num>
  <w:num w:numId="5" w16cid:durableId="426119124">
    <w:abstractNumId w:val="14"/>
  </w:num>
  <w:num w:numId="6" w16cid:durableId="914360252">
    <w:abstractNumId w:val="13"/>
  </w:num>
  <w:num w:numId="7" w16cid:durableId="1247039338">
    <w:abstractNumId w:val="12"/>
  </w:num>
  <w:num w:numId="8" w16cid:durableId="1766614390">
    <w:abstractNumId w:val="4"/>
  </w:num>
  <w:num w:numId="9" w16cid:durableId="192962561">
    <w:abstractNumId w:val="2"/>
  </w:num>
  <w:num w:numId="10" w16cid:durableId="247008078">
    <w:abstractNumId w:val="10"/>
  </w:num>
  <w:num w:numId="11" w16cid:durableId="707023051">
    <w:abstractNumId w:val="8"/>
  </w:num>
  <w:num w:numId="12" w16cid:durableId="1372877493">
    <w:abstractNumId w:val="5"/>
  </w:num>
  <w:num w:numId="13" w16cid:durableId="493648460">
    <w:abstractNumId w:val="11"/>
  </w:num>
  <w:num w:numId="14" w16cid:durableId="1131248004">
    <w:abstractNumId w:val="0"/>
  </w:num>
  <w:num w:numId="15" w16cid:durableId="3018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3E"/>
    <w:rsid w:val="0001595C"/>
    <w:rsid w:val="00085867"/>
    <w:rsid w:val="000B5B57"/>
    <w:rsid w:val="000C27A8"/>
    <w:rsid w:val="000C7880"/>
    <w:rsid w:val="000D33C5"/>
    <w:rsid w:val="000E46F9"/>
    <w:rsid w:val="00102A83"/>
    <w:rsid w:val="001337E4"/>
    <w:rsid w:val="0014190C"/>
    <w:rsid w:val="001439EE"/>
    <w:rsid w:val="00181D51"/>
    <w:rsid w:val="001A6263"/>
    <w:rsid w:val="00210A60"/>
    <w:rsid w:val="00234C57"/>
    <w:rsid w:val="00243E2C"/>
    <w:rsid w:val="0028585B"/>
    <w:rsid w:val="002F3744"/>
    <w:rsid w:val="00300783"/>
    <w:rsid w:val="003515ED"/>
    <w:rsid w:val="00370B15"/>
    <w:rsid w:val="00376BD3"/>
    <w:rsid w:val="0041331B"/>
    <w:rsid w:val="004241A7"/>
    <w:rsid w:val="00424AE7"/>
    <w:rsid w:val="004322C1"/>
    <w:rsid w:val="004C0D5E"/>
    <w:rsid w:val="004D109A"/>
    <w:rsid w:val="004F0501"/>
    <w:rsid w:val="00540360"/>
    <w:rsid w:val="00563B25"/>
    <w:rsid w:val="005842D7"/>
    <w:rsid w:val="006242B9"/>
    <w:rsid w:val="0063334E"/>
    <w:rsid w:val="0064274A"/>
    <w:rsid w:val="00702AB0"/>
    <w:rsid w:val="007529F5"/>
    <w:rsid w:val="00763311"/>
    <w:rsid w:val="007833D6"/>
    <w:rsid w:val="007E0A36"/>
    <w:rsid w:val="007E4C74"/>
    <w:rsid w:val="008033D6"/>
    <w:rsid w:val="0088298F"/>
    <w:rsid w:val="008B2450"/>
    <w:rsid w:val="008E4008"/>
    <w:rsid w:val="00906711"/>
    <w:rsid w:val="00945CF4"/>
    <w:rsid w:val="009A323E"/>
    <w:rsid w:val="009C3809"/>
    <w:rsid w:val="00A234F8"/>
    <w:rsid w:val="00A46AF0"/>
    <w:rsid w:val="00A77D1C"/>
    <w:rsid w:val="00A842C4"/>
    <w:rsid w:val="00AB396E"/>
    <w:rsid w:val="00AC00D9"/>
    <w:rsid w:val="00B04BD2"/>
    <w:rsid w:val="00B358B1"/>
    <w:rsid w:val="00B57A61"/>
    <w:rsid w:val="00B73C7C"/>
    <w:rsid w:val="00BC0312"/>
    <w:rsid w:val="00BC1377"/>
    <w:rsid w:val="00BE1663"/>
    <w:rsid w:val="00C57748"/>
    <w:rsid w:val="00CA2B9A"/>
    <w:rsid w:val="00CB3CBF"/>
    <w:rsid w:val="00D02AA2"/>
    <w:rsid w:val="00D0782F"/>
    <w:rsid w:val="00D935C5"/>
    <w:rsid w:val="00DA3991"/>
    <w:rsid w:val="00E226C6"/>
    <w:rsid w:val="00E45528"/>
    <w:rsid w:val="00E47A53"/>
    <w:rsid w:val="00E959D8"/>
    <w:rsid w:val="00EB1222"/>
    <w:rsid w:val="00EB4B53"/>
    <w:rsid w:val="00F20C56"/>
    <w:rsid w:val="00F21264"/>
    <w:rsid w:val="00FA08DC"/>
    <w:rsid w:val="00FD3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492D"/>
  <w15:chartTrackingRefBased/>
  <w15:docId w15:val="{E2B0EC02-BA11-4015-A408-14F811D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9F5"/>
    <w:pPr>
      <w:jc w:val="both"/>
    </w:pPr>
  </w:style>
  <w:style w:type="paragraph" w:styleId="Heading1">
    <w:name w:val="heading 1"/>
    <w:basedOn w:val="Normal"/>
    <w:next w:val="Normal"/>
    <w:link w:val="Heading1Char"/>
    <w:uiPriority w:val="9"/>
    <w:qFormat/>
    <w:rsid w:val="00E455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14190C"/>
    <w:pPr>
      <w:spacing w:after="120" w:line="360" w:lineRule="auto"/>
      <w:outlineLvl w:val="1"/>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A32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323E"/>
    <w:rPr>
      <w:sz w:val="20"/>
      <w:szCs w:val="20"/>
    </w:rPr>
  </w:style>
  <w:style w:type="character" w:styleId="FootnoteReference">
    <w:name w:val="footnote reference"/>
    <w:basedOn w:val="DefaultParagraphFont"/>
    <w:uiPriority w:val="99"/>
    <w:semiHidden/>
    <w:unhideWhenUsed/>
    <w:rsid w:val="009A323E"/>
    <w:rPr>
      <w:vertAlign w:val="superscript"/>
    </w:rPr>
  </w:style>
  <w:style w:type="paragraph" w:styleId="Revision">
    <w:name w:val="Revision"/>
    <w:hidden/>
    <w:uiPriority w:val="99"/>
    <w:semiHidden/>
    <w:rsid w:val="001337E4"/>
    <w:pPr>
      <w:spacing w:after="0" w:line="240" w:lineRule="auto"/>
    </w:pPr>
  </w:style>
  <w:style w:type="paragraph" w:styleId="ListParagraph">
    <w:name w:val="List Paragraph"/>
    <w:basedOn w:val="Normal"/>
    <w:uiPriority w:val="34"/>
    <w:qFormat/>
    <w:rsid w:val="001337E4"/>
    <w:pPr>
      <w:ind w:left="720"/>
      <w:contextualSpacing/>
    </w:pPr>
  </w:style>
  <w:style w:type="character" w:styleId="Hyperlink">
    <w:name w:val="Hyperlink"/>
    <w:basedOn w:val="DefaultParagraphFont"/>
    <w:uiPriority w:val="99"/>
    <w:unhideWhenUsed/>
    <w:rsid w:val="00F21264"/>
    <w:rPr>
      <w:color w:val="0563C1" w:themeColor="hyperlink"/>
      <w:u w:val="single"/>
    </w:rPr>
  </w:style>
  <w:style w:type="character" w:styleId="UnresolvedMention">
    <w:name w:val="Unresolved Mention"/>
    <w:basedOn w:val="DefaultParagraphFont"/>
    <w:uiPriority w:val="99"/>
    <w:semiHidden/>
    <w:unhideWhenUsed/>
    <w:rsid w:val="00F21264"/>
    <w:rPr>
      <w:color w:val="605E5C"/>
      <w:shd w:val="clear" w:color="auto" w:fill="E1DFDD"/>
    </w:rPr>
  </w:style>
  <w:style w:type="character" w:customStyle="1" w:styleId="normaltextrun">
    <w:name w:val="normaltextrun"/>
    <w:basedOn w:val="DefaultParagraphFont"/>
    <w:rsid w:val="00D0782F"/>
  </w:style>
  <w:style w:type="character" w:customStyle="1" w:styleId="Heading2Char">
    <w:name w:val="Heading 2 Char"/>
    <w:basedOn w:val="DefaultParagraphFont"/>
    <w:link w:val="Heading2"/>
    <w:rsid w:val="0014190C"/>
    <w:rPr>
      <w:rFonts w:ascii="Times New Roman" w:hAnsi="Times New Roman"/>
      <w:b/>
      <w:bCs/>
      <w:sz w:val="24"/>
    </w:rPr>
  </w:style>
  <w:style w:type="paragraph" w:customStyle="1" w:styleId="DocumentText">
    <w:name w:val="Document Text"/>
    <w:basedOn w:val="Normal"/>
    <w:link w:val="DocumentTextChar"/>
    <w:qFormat/>
    <w:rsid w:val="0014190C"/>
    <w:pPr>
      <w:spacing w:after="240" w:line="300" w:lineRule="auto"/>
    </w:pPr>
    <w:rPr>
      <w:rFonts w:ascii="Times New Roman" w:eastAsia="Times New Roman" w:hAnsi="Times New Roman" w:cs="Times New Roman"/>
      <w:kern w:val="24"/>
      <w:sz w:val="24"/>
      <w:szCs w:val="24"/>
      <w14:ligatures w14:val="none"/>
    </w:rPr>
  </w:style>
  <w:style w:type="character" w:customStyle="1" w:styleId="DocumentTextChar">
    <w:name w:val="Document Text Char"/>
    <w:link w:val="DocumentText"/>
    <w:rsid w:val="0014190C"/>
    <w:rPr>
      <w:rFonts w:ascii="Times New Roman" w:eastAsia="Times New Roman" w:hAnsi="Times New Roman" w:cs="Times New Roman"/>
      <w:kern w:val="24"/>
      <w:sz w:val="24"/>
      <w:szCs w:val="24"/>
      <w14:ligatures w14:val="none"/>
    </w:rPr>
  </w:style>
  <w:style w:type="character" w:customStyle="1" w:styleId="eop">
    <w:name w:val="eop"/>
    <w:basedOn w:val="DefaultParagraphFont"/>
    <w:rsid w:val="0014190C"/>
  </w:style>
  <w:style w:type="paragraph" w:styleId="NoSpacing">
    <w:name w:val="No Spacing"/>
    <w:uiPriority w:val="1"/>
    <w:qFormat/>
    <w:rsid w:val="008B2450"/>
    <w:pPr>
      <w:spacing w:after="0" w:line="240" w:lineRule="auto"/>
    </w:pPr>
  </w:style>
  <w:style w:type="character" w:customStyle="1" w:styleId="Heading1Char">
    <w:name w:val="Heading 1 Char"/>
    <w:basedOn w:val="DefaultParagraphFont"/>
    <w:link w:val="Heading1"/>
    <w:uiPriority w:val="9"/>
    <w:rsid w:val="00E45528"/>
    <w:rPr>
      <w:rFonts w:asciiTheme="majorHAnsi" w:eastAsiaTheme="majorEastAsia" w:hAnsiTheme="majorHAnsi" w:cstheme="majorBidi"/>
      <w:color w:val="2F5496" w:themeColor="accent1" w:themeShade="BF"/>
      <w:sz w:val="32"/>
      <w:szCs w:val="32"/>
    </w:rPr>
  </w:style>
  <w:style w:type="paragraph" w:customStyle="1" w:styleId="TableFootnote">
    <w:name w:val="Table Footnote"/>
    <w:basedOn w:val="DocumentText"/>
    <w:next w:val="DocumentText"/>
    <w:link w:val="TableFootnoteChar"/>
    <w:qFormat/>
    <w:rsid w:val="00E45528"/>
    <w:pPr>
      <w:keepNext/>
      <w:keepLines/>
      <w:spacing w:before="40" w:after="0" w:line="240" w:lineRule="auto"/>
      <w:ind w:left="360" w:hanging="360"/>
    </w:pPr>
    <w:rPr>
      <w:kern w:val="20"/>
      <w:sz w:val="20"/>
      <w:szCs w:val="20"/>
    </w:rPr>
  </w:style>
  <w:style w:type="character" w:customStyle="1" w:styleId="TableFootnoteChar">
    <w:name w:val="Table Footnote Char"/>
    <w:basedOn w:val="DefaultParagraphFont"/>
    <w:link w:val="TableFootnote"/>
    <w:rsid w:val="00E45528"/>
    <w:rPr>
      <w:rFonts w:ascii="Times New Roman" w:eastAsia="Times New Roman" w:hAnsi="Times New Roman" w:cs="Times New Roman"/>
      <w:kern w:val="20"/>
      <w:sz w:val="20"/>
      <w:szCs w:val="20"/>
      <w14:ligatures w14:val="none"/>
    </w:rPr>
  </w:style>
  <w:style w:type="paragraph" w:customStyle="1" w:styleId="TableCellHeading10pt">
    <w:name w:val="Table Cell Heading 10pt"/>
    <w:basedOn w:val="Normal"/>
    <w:rsid w:val="00E45528"/>
    <w:pPr>
      <w:keepNext/>
      <w:spacing w:before="40" w:after="40" w:line="240" w:lineRule="auto"/>
      <w:jc w:val="center"/>
    </w:pPr>
    <w:rPr>
      <w:rFonts w:ascii="Times New Roman" w:eastAsia="Times New Roman" w:hAnsi="Times New Roman" w:cs="Times New Roman"/>
      <w:b/>
      <w:kern w:val="20"/>
      <w:sz w:val="20"/>
      <w:szCs w:val="24"/>
      <w:lang w:eastAsia="ja-JP"/>
      <w14:ligatures w14:val="none"/>
    </w:rPr>
  </w:style>
  <w:style w:type="paragraph" w:customStyle="1" w:styleId="TableCellText10pt">
    <w:name w:val="Table Cell Text 10pt"/>
    <w:basedOn w:val="Normal"/>
    <w:rsid w:val="00E45528"/>
    <w:pPr>
      <w:keepNext/>
      <w:spacing w:before="40" w:after="40" w:line="240" w:lineRule="auto"/>
      <w:jc w:val="center"/>
    </w:pPr>
    <w:rPr>
      <w:rFonts w:ascii="Times New Roman" w:eastAsia="Times New Roman" w:hAnsi="Times New Roman" w:cs="Times New Roman"/>
      <w:kern w:val="24"/>
      <w:sz w:val="20"/>
      <w:szCs w:val="24"/>
      <w:lang w:eastAsia="ja-JP"/>
      <w14:ligatures w14:val="none"/>
    </w:rPr>
  </w:style>
  <w:style w:type="paragraph" w:styleId="Caption">
    <w:name w:val="caption"/>
    <w:basedOn w:val="Normal"/>
    <w:next w:val="Normal"/>
    <w:uiPriority w:val="35"/>
    <w:unhideWhenUsed/>
    <w:qFormat/>
    <w:rsid w:val="004322C1"/>
    <w:pPr>
      <w:spacing w:after="200" w:line="240" w:lineRule="auto"/>
    </w:pPr>
    <w:rPr>
      <w:iCs/>
      <w:sz w:val="24"/>
      <w:szCs w:val="18"/>
    </w:rPr>
  </w:style>
  <w:style w:type="paragraph" w:customStyle="1" w:styleId="Default">
    <w:name w:val="Default"/>
    <w:rsid w:val="00EB122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043c50-087f-4aea-bdf8-14283dc33579">
      <Terms xmlns="http://schemas.microsoft.com/office/infopath/2007/PartnerControls"/>
    </lcf76f155ced4ddcb4097134ff3c332f>
    <TaxCatchAll xmlns="fabb9a6e-c226-42da-933b-04e07057b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9913CA77B4E4C8DCD08EF2B2EFBA2" ma:contentTypeVersion="12" ma:contentTypeDescription="Create a new document." ma:contentTypeScope="" ma:versionID="7988862a7e88da1e674ce92bf92c5e71">
  <xsd:schema xmlns:xsd="http://www.w3.org/2001/XMLSchema" xmlns:xs="http://www.w3.org/2001/XMLSchema" xmlns:p="http://schemas.microsoft.com/office/2006/metadata/properties" xmlns:ns2="54043c50-087f-4aea-bdf8-14283dc33579" xmlns:ns3="fabb9a6e-c226-42da-933b-04e07057b6c0" targetNamespace="http://schemas.microsoft.com/office/2006/metadata/properties" ma:root="true" ma:fieldsID="6c690149d49385bff17b108ad0061da5" ns2:_="" ns3:_="">
    <xsd:import namespace="54043c50-087f-4aea-bdf8-14283dc33579"/>
    <xsd:import namespace="fabb9a6e-c226-42da-933b-04e07057b6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43c50-087f-4aea-bdf8-14283dc33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d0b6dba-d5cd-4fe5-9874-52817b7d7b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b9a6e-c226-42da-933b-04e07057b6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fe63e18-c3fd-4e61-a42a-c13ec4950d52}" ma:internalName="TaxCatchAll" ma:showField="CatchAllData" ma:web="fabb9a6e-c226-42da-933b-04e07057b6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61D6-B618-4FBD-A5CD-FF5A323A14B0}">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925f8775-bf93-4a97-ac65-430b27d738e8"/>
    <ds:schemaRef ds:uri="66cd7d9c-2900-49fa-9bca-6f8a0b02391a"/>
    <ds:schemaRef ds:uri="http://www.w3.org/XML/1998/namespace"/>
    <ds:schemaRef ds:uri="54043c50-087f-4aea-bdf8-14283dc33579"/>
    <ds:schemaRef ds:uri="fabb9a6e-c226-42da-933b-04e07057b6c0"/>
  </ds:schemaRefs>
</ds:datastoreItem>
</file>

<file path=customXml/itemProps2.xml><?xml version="1.0" encoding="utf-8"?>
<ds:datastoreItem xmlns:ds="http://schemas.openxmlformats.org/officeDocument/2006/customXml" ds:itemID="{782A9CDA-BD3B-4AB6-AFCC-B2682AAD529A}">
  <ds:schemaRefs>
    <ds:schemaRef ds:uri="http://schemas.microsoft.com/sharepoint/v3/contenttype/forms"/>
  </ds:schemaRefs>
</ds:datastoreItem>
</file>

<file path=customXml/itemProps3.xml><?xml version="1.0" encoding="utf-8"?>
<ds:datastoreItem xmlns:ds="http://schemas.openxmlformats.org/officeDocument/2006/customXml" ds:itemID="{7E0CEEEE-71E5-446E-BD37-CA3C2B5E3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43c50-087f-4aea-bdf8-14283dc33579"/>
    <ds:schemaRef ds:uri="fabb9a6e-c226-42da-933b-04e07057b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FE2EB6-3B13-4AB1-94A8-15F75E904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Ward</dc:creator>
  <cp:keywords/>
  <dc:description/>
  <cp:lastModifiedBy>RouthuKasi Viswanath</cp:lastModifiedBy>
  <cp:revision>3</cp:revision>
  <dcterms:created xsi:type="dcterms:W3CDTF">2024-07-09T06:30:00Z</dcterms:created>
  <dcterms:modified xsi:type="dcterms:W3CDTF">2024-07-09T06:31:00Z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0x0101000491B860AB087B44BB9FB786DFFE5992</vt:lpwstr>
  </property>
</Properties>
</file>