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32405E" w14:textId="0C7CC72C" w:rsidR="00854DCA" w:rsidRPr="007F1B4E" w:rsidRDefault="005E1B63" w:rsidP="00854DCA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Hlk148673871"/>
      <w:bookmarkStart w:id="1" w:name="_Hlk147295560"/>
      <w:r>
        <w:rPr>
          <w:rFonts w:ascii="Arial" w:hAnsi="Arial" w:cs="Arial"/>
          <w:b/>
          <w:sz w:val="24"/>
          <w:szCs w:val="24"/>
        </w:rPr>
        <w:t>Blood m</w:t>
      </w:r>
      <w:r w:rsidRPr="007F1B4E">
        <w:rPr>
          <w:rFonts w:ascii="Arial" w:hAnsi="Arial" w:cs="Arial"/>
          <w:b/>
          <w:sz w:val="24"/>
          <w:szCs w:val="24"/>
        </w:rPr>
        <w:t>olecular subtyp</w:t>
      </w:r>
      <w:r>
        <w:rPr>
          <w:rFonts w:ascii="Arial" w:hAnsi="Arial" w:cs="Arial"/>
          <w:b/>
          <w:sz w:val="24"/>
          <w:szCs w:val="24"/>
        </w:rPr>
        <w:t>es</w:t>
      </w:r>
      <w:r w:rsidRPr="007F1B4E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to guide precision treatment strategies in systemic juvenile idiopathic arthritis</w:t>
      </w:r>
    </w:p>
    <w:bookmarkEnd w:id="0"/>
    <w:p w14:paraId="70DC1709" w14:textId="77777777" w:rsidR="00854DCA" w:rsidRPr="00864540" w:rsidRDefault="00854DCA" w:rsidP="00854DCA">
      <w:pPr>
        <w:tabs>
          <w:tab w:val="left" w:pos="1185"/>
        </w:tabs>
        <w:spacing w:after="0" w:line="360" w:lineRule="auto"/>
        <w:jc w:val="left"/>
        <w:rPr>
          <w:rFonts w:ascii="Arial" w:hAnsi="Arial" w:cs="Arial"/>
          <w:sz w:val="24"/>
          <w:szCs w:val="24"/>
        </w:rPr>
      </w:pPr>
    </w:p>
    <w:p w14:paraId="466C99A6" w14:textId="77777777" w:rsidR="00854DCA" w:rsidRPr="007F1B4E" w:rsidRDefault="00854DCA" w:rsidP="00854DCA">
      <w:pPr>
        <w:spacing w:after="0" w:line="360" w:lineRule="auto"/>
        <w:jc w:val="left"/>
        <w:rPr>
          <w:rFonts w:ascii="Arial" w:hAnsi="Arial" w:cs="Arial"/>
          <w:sz w:val="24"/>
          <w:szCs w:val="24"/>
        </w:rPr>
      </w:pPr>
      <w:bookmarkStart w:id="2" w:name="_Hlk94337544"/>
      <w:r>
        <w:rPr>
          <w:rFonts w:ascii="Arial" w:hAnsi="Arial" w:cs="Arial"/>
          <w:sz w:val="24"/>
          <w:szCs w:val="24"/>
        </w:rPr>
        <w:t>In-</w:t>
      </w:r>
      <w:proofErr w:type="spellStart"/>
      <w:r>
        <w:rPr>
          <w:rFonts w:ascii="Arial" w:hAnsi="Arial" w:cs="Arial"/>
          <w:sz w:val="24"/>
          <w:szCs w:val="24"/>
        </w:rPr>
        <w:t>Woon</w:t>
      </w:r>
      <w:proofErr w:type="spellEnd"/>
      <w:r>
        <w:rPr>
          <w:rFonts w:ascii="Arial" w:hAnsi="Arial" w:cs="Arial"/>
          <w:sz w:val="24"/>
          <w:szCs w:val="24"/>
        </w:rPr>
        <w:t xml:space="preserve"> Baek</w:t>
      </w:r>
      <w:r w:rsidRPr="007F1B4E">
        <w:rPr>
          <w:rFonts w:ascii="Arial" w:hAnsi="Arial" w:cs="Arial"/>
          <w:sz w:val="24"/>
          <w:szCs w:val="24"/>
          <w:vertAlign w:val="superscript"/>
        </w:rPr>
        <w:t>1</w:t>
      </w:r>
      <w:r w:rsidRPr="007F1B4E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 w:hint="eastAsia"/>
          <w:sz w:val="24"/>
          <w:szCs w:val="24"/>
        </w:rPr>
        <w:t>J</w:t>
      </w:r>
      <w:r>
        <w:rPr>
          <w:rFonts w:ascii="Arial" w:hAnsi="Arial" w:cs="Arial"/>
          <w:sz w:val="24"/>
          <w:szCs w:val="24"/>
        </w:rPr>
        <w:t>ung Woo Rhim</w:t>
      </w:r>
      <w:r w:rsidRPr="00982E04">
        <w:rPr>
          <w:rFonts w:ascii="Arial" w:hAnsi="Arial" w:cs="Arial"/>
          <w:sz w:val="24"/>
          <w:szCs w:val="24"/>
          <w:vertAlign w:val="superscript"/>
        </w:rPr>
        <w:t>2</w:t>
      </w:r>
      <w:r>
        <w:rPr>
          <w:rFonts w:ascii="Arial" w:hAnsi="Arial" w:cs="Arial"/>
          <w:sz w:val="24"/>
          <w:szCs w:val="24"/>
        </w:rPr>
        <w:t xml:space="preserve">, </w:t>
      </w:r>
      <w:r w:rsidRPr="007F1B4E">
        <w:rPr>
          <w:rFonts w:ascii="Arial" w:hAnsi="Arial" w:cs="Arial"/>
          <w:sz w:val="24"/>
          <w:szCs w:val="24"/>
        </w:rPr>
        <w:t>Kyung-</w:t>
      </w:r>
      <w:proofErr w:type="spellStart"/>
      <w:r w:rsidRPr="007F1B4E">
        <w:rPr>
          <w:rFonts w:ascii="Arial" w:hAnsi="Arial" w:cs="Arial"/>
          <w:sz w:val="24"/>
          <w:szCs w:val="24"/>
        </w:rPr>
        <w:t>Su</w:t>
      </w:r>
      <w:proofErr w:type="spellEnd"/>
      <w:r w:rsidRPr="007F1B4E">
        <w:rPr>
          <w:rFonts w:ascii="Arial" w:hAnsi="Arial" w:cs="Arial"/>
          <w:sz w:val="24"/>
          <w:szCs w:val="24"/>
        </w:rPr>
        <w:t xml:space="preserve"> Park</w:t>
      </w:r>
      <w:r>
        <w:rPr>
          <w:rFonts w:ascii="Arial" w:hAnsi="Arial" w:cs="Arial"/>
          <w:sz w:val="24"/>
          <w:szCs w:val="24"/>
          <w:vertAlign w:val="superscript"/>
        </w:rPr>
        <w:t>3</w:t>
      </w:r>
      <w:r w:rsidRPr="007F1B4E">
        <w:rPr>
          <w:rFonts w:ascii="Arial" w:hAnsi="Arial" w:cs="Arial"/>
          <w:sz w:val="24"/>
          <w:szCs w:val="24"/>
        </w:rPr>
        <w:t>, Ki-Jo Kim</w:t>
      </w:r>
      <w:r>
        <w:rPr>
          <w:rFonts w:ascii="Arial" w:hAnsi="Arial" w:cs="Arial"/>
          <w:sz w:val="24"/>
          <w:szCs w:val="24"/>
          <w:vertAlign w:val="superscript"/>
        </w:rPr>
        <w:t>3</w:t>
      </w:r>
      <w:r w:rsidRPr="007F1B4E">
        <w:rPr>
          <w:rFonts w:ascii="Arial" w:hAnsi="Arial" w:cs="Arial"/>
          <w:sz w:val="24"/>
          <w:szCs w:val="24"/>
          <w:vertAlign w:val="superscript"/>
        </w:rPr>
        <w:t>*</w:t>
      </w:r>
    </w:p>
    <w:p w14:paraId="4F4F4600" w14:textId="77777777" w:rsidR="00854DCA" w:rsidRPr="000C61A1" w:rsidRDefault="00854DCA" w:rsidP="00854DCA">
      <w:pPr>
        <w:spacing w:after="0" w:line="360" w:lineRule="auto"/>
        <w:jc w:val="left"/>
        <w:rPr>
          <w:rFonts w:ascii="Arial" w:hAnsi="Arial" w:cs="Arial"/>
          <w:sz w:val="24"/>
          <w:szCs w:val="24"/>
        </w:rPr>
      </w:pPr>
    </w:p>
    <w:p w14:paraId="2F3D5FE4" w14:textId="77777777" w:rsidR="00854DCA" w:rsidRDefault="00854DCA" w:rsidP="00854DCA">
      <w:pPr>
        <w:spacing w:after="0" w:line="360" w:lineRule="auto"/>
        <w:jc w:val="left"/>
        <w:rPr>
          <w:rFonts w:ascii="Arial" w:hAnsi="Arial" w:cs="Arial"/>
          <w:sz w:val="24"/>
          <w:szCs w:val="24"/>
        </w:rPr>
      </w:pPr>
      <w:r w:rsidRPr="007F1B4E">
        <w:rPr>
          <w:rFonts w:ascii="Arial" w:hAnsi="Arial" w:cs="Arial"/>
          <w:sz w:val="24"/>
          <w:szCs w:val="24"/>
          <w:vertAlign w:val="superscript"/>
        </w:rPr>
        <w:t>1</w:t>
      </w:r>
      <w:r w:rsidRPr="007F1B4E">
        <w:rPr>
          <w:rFonts w:ascii="Arial" w:hAnsi="Arial" w:cs="Arial"/>
          <w:sz w:val="24"/>
          <w:szCs w:val="24"/>
        </w:rPr>
        <w:t xml:space="preserve"> </w:t>
      </w:r>
      <w:r w:rsidRPr="00AB2465">
        <w:rPr>
          <w:rFonts w:ascii="Arial" w:hAnsi="Arial" w:cs="Arial"/>
          <w:sz w:val="24"/>
          <w:szCs w:val="24"/>
        </w:rPr>
        <w:t xml:space="preserve">Division of Rheumatology, Department of Internal Medicine, </w:t>
      </w:r>
      <w:proofErr w:type="spellStart"/>
      <w:r>
        <w:rPr>
          <w:rFonts w:ascii="Arial" w:hAnsi="Arial" w:cs="Arial"/>
          <w:sz w:val="24"/>
          <w:szCs w:val="24"/>
        </w:rPr>
        <w:t>Ewha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Womans</w:t>
      </w:r>
      <w:proofErr w:type="spellEnd"/>
      <w:r>
        <w:rPr>
          <w:rFonts w:ascii="Arial" w:hAnsi="Arial" w:cs="Arial"/>
          <w:sz w:val="24"/>
          <w:szCs w:val="24"/>
        </w:rPr>
        <w:t xml:space="preserve"> University, College of Medicine</w:t>
      </w:r>
      <w:r w:rsidRPr="00AB2465">
        <w:rPr>
          <w:rFonts w:ascii="Arial" w:hAnsi="Arial" w:cs="Arial"/>
          <w:sz w:val="24"/>
          <w:szCs w:val="24"/>
        </w:rPr>
        <w:t>, Seoul, Republic of Korea</w:t>
      </w:r>
    </w:p>
    <w:p w14:paraId="60948B43" w14:textId="77777777" w:rsidR="00854DCA" w:rsidRPr="007F1B4E" w:rsidRDefault="00854DCA" w:rsidP="00854DCA">
      <w:pPr>
        <w:spacing w:after="0" w:line="360" w:lineRule="auto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vertAlign w:val="superscript"/>
        </w:rPr>
        <w:t>2</w:t>
      </w:r>
      <w:r w:rsidRPr="007F1B4E">
        <w:rPr>
          <w:rFonts w:ascii="Arial" w:hAnsi="Arial" w:cs="Arial"/>
          <w:sz w:val="24"/>
          <w:szCs w:val="24"/>
        </w:rPr>
        <w:t xml:space="preserve"> Department of </w:t>
      </w:r>
      <w:r>
        <w:rPr>
          <w:rFonts w:ascii="Arial" w:hAnsi="Arial" w:cs="Arial"/>
          <w:sz w:val="24"/>
          <w:szCs w:val="24"/>
        </w:rPr>
        <w:t>Pediatrics</w:t>
      </w:r>
      <w:r w:rsidRPr="007F1B4E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Daejeon St. Mary’s</w:t>
      </w:r>
      <w:r w:rsidRPr="007F1B4E">
        <w:rPr>
          <w:rFonts w:ascii="Arial" w:hAnsi="Arial" w:cs="Arial"/>
          <w:sz w:val="24"/>
          <w:szCs w:val="24"/>
        </w:rPr>
        <w:t xml:space="preserve"> Hospital, College of Medicine, The Catholic University of Korea, Seoul, Republic of Korea</w:t>
      </w:r>
    </w:p>
    <w:p w14:paraId="3DAF7696" w14:textId="77777777" w:rsidR="00854DCA" w:rsidRPr="007F1B4E" w:rsidRDefault="00854DCA" w:rsidP="00854DCA">
      <w:pPr>
        <w:spacing w:after="0" w:line="360" w:lineRule="auto"/>
        <w:jc w:val="left"/>
        <w:rPr>
          <w:rFonts w:ascii="Arial" w:hAnsi="Arial" w:cs="Arial"/>
          <w:sz w:val="24"/>
          <w:szCs w:val="24"/>
        </w:rPr>
      </w:pPr>
      <w:bookmarkStart w:id="3" w:name="_Hlk94337535"/>
      <w:r>
        <w:rPr>
          <w:rFonts w:ascii="Arial" w:hAnsi="Arial" w:cs="Arial"/>
          <w:sz w:val="24"/>
          <w:szCs w:val="24"/>
          <w:vertAlign w:val="superscript"/>
        </w:rPr>
        <w:t>3</w:t>
      </w:r>
      <w:r w:rsidRPr="007F1B4E">
        <w:rPr>
          <w:rFonts w:ascii="Arial" w:hAnsi="Arial" w:cs="Arial"/>
          <w:sz w:val="24"/>
          <w:szCs w:val="24"/>
        </w:rPr>
        <w:t xml:space="preserve"> Division of Rheumatology, Department of Internal Medicine, St. Vincent’s Hospital, College of Medicine, The Catholic University of Korea, Seoul, Republic of Korea</w:t>
      </w:r>
    </w:p>
    <w:bookmarkEnd w:id="2"/>
    <w:bookmarkEnd w:id="3"/>
    <w:p w14:paraId="0F652BE4" w14:textId="77777777" w:rsidR="00854DCA" w:rsidRPr="007F1B4E" w:rsidRDefault="00854DCA" w:rsidP="00854DCA">
      <w:pPr>
        <w:spacing w:after="0" w:line="360" w:lineRule="auto"/>
        <w:jc w:val="left"/>
        <w:rPr>
          <w:rFonts w:ascii="Arial" w:hAnsi="Arial" w:cs="Arial"/>
          <w:sz w:val="24"/>
          <w:szCs w:val="24"/>
        </w:rPr>
      </w:pPr>
      <w:r w:rsidRPr="007F1B4E">
        <w:rPr>
          <w:rFonts w:ascii="Arial" w:hAnsi="Arial" w:cs="Arial"/>
          <w:sz w:val="24"/>
          <w:szCs w:val="24"/>
        </w:rPr>
        <w:t>* Correspondence: md21c@catholic.ac.kr (K-J.K.)</w:t>
      </w:r>
    </w:p>
    <w:p w14:paraId="375183AC" w14:textId="77777777" w:rsidR="00854DCA" w:rsidRPr="007F1B4E" w:rsidRDefault="00854DCA" w:rsidP="00854DCA">
      <w:pPr>
        <w:spacing w:after="0" w:line="360" w:lineRule="auto"/>
        <w:jc w:val="left"/>
        <w:rPr>
          <w:rFonts w:ascii="Arial" w:hAnsi="Arial" w:cs="Arial"/>
          <w:sz w:val="24"/>
          <w:szCs w:val="24"/>
        </w:rPr>
      </w:pPr>
    </w:p>
    <w:bookmarkEnd w:id="1"/>
    <w:p w14:paraId="1A7EF16C" w14:textId="77777777" w:rsidR="00854DCA" w:rsidRPr="00D9587B" w:rsidRDefault="00854DCA" w:rsidP="00854DCA">
      <w:pPr>
        <w:spacing w:after="0" w:line="480" w:lineRule="auto"/>
        <w:jc w:val="left"/>
        <w:rPr>
          <w:rFonts w:ascii="Arial" w:hAnsi="Arial" w:cs="Arial"/>
          <w:sz w:val="24"/>
          <w:szCs w:val="24"/>
        </w:rPr>
      </w:pPr>
    </w:p>
    <w:p w14:paraId="78023077" w14:textId="77777777" w:rsidR="00D17984" w:rsidRPr="00854DCA" w:rsidRDefault="00D17984" w:rsidP="00D17984">
      <w:pPr>
        <w:spacing w:after="0" w:line="480" w:lineRule="auto"/>
        <w:rPr>
          <w:rFonts w:ascii="Arial" w:hAnsi="Arial" w:cs="Arial"/>
          <w:sz w:val="24"/>
          <w:szCs w:val="24"/>
        </w:rPr>
      </w:pPr>
    </w:p>
    <w:p w14:paraId="4F6E285A" w14:textId="070A4D61" w:rsidR="00D17984" w:rsidRPr="00AA42CD" w:rsidRDefault="00D17984">
      <w:pPr>
        <w:widowControl/>
        <w:wordWrap/>
        <w:autoSpaceDE/>
        <w:autoSpaceDN/>
        <w:rPr>
          <w:rFonts w:ascii="Arial" w:hAnsi="Arial" w:cs="Arial"/>
          <w:b/>
          <w:bCs/>
          <w:sz w:val="24"/>
          <w:szCs w:val="24"/>
        </w:rPr>
      </w:pPr>
    </w:p>
    <w:p w14:paraId="6889DC43" w14:textId="39FBEE27" w:rsidR="00D17984" w:rsidRPr="00AA42CD" w:rsidRDefault="00D17984">
      <w:pPr>
        <w:widowControl/>
        <w:wordWrap/>
        <w:autoSpaceDE/>
        <w:autoSpaceDN/>
        <w:rPr>
          <w:rFonts w:ascii="Arial" w:hAnsi="Arial" w:cs="Arial"/>
          <w:b/>
          <w:bCs/>
          <w:sz w:val="24"/>
          <w:szCs w:val="24"/>
        </w:rPr>
      </w:pPr>
      <w:r w:rsidRPr="00AA42CD">
        <w:rPr>
          <w:rFonts w:ascii="Arial" w:hAnsi="Arial" w:cs="Arial"/>
          <w:b/>
          <w:bCs/>
          <w:sz w:val="24"/>
          <w:szCs w:val="24"/>
        </w:rPr>
        <w:br w:type="page"/>
      </w:r>
    </w:p>
    <w:p w14:paraId="642E00C7" w14:textId="3555CC90" w:rsidR="002B60DE" w:rsidRPr="00AA42CD" w:rsidRDefault="007F637A" w:rsidP="0060527B">
      <w:pPr>
        <w:wordWrap/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AA42CD">
        <w:rPr>
          <w:rFonts w:ascii="Arial" w:hAnsi="Arial" w:cs="Arial"/>
          <w:b/>
          <w:bCs/>
          <w:sz w:val="24"/>
          <w:szCs w:val="24"/>
        </w:rPr>
        <w:lastRenderedPageBreak/>
        <w:t>SUPPLEMENTA</w:t>
      </w:r>
      <w:r w:rsidR="00967F25">
        <w:rPr>
          <w:rFonts w:ascii="Arial" w:hAnsi="Arial" w:cs="Arial"/>
          <w:b/>
          <w:bCs/>
          <w:sz w:val="24"/>
          <w:szCs w:val="24"/>
        </w:rPr>
        <w:t>RY</w:t>
      </w:r>
      <w:r w:rsidRPr="00AA42CD">
        <w:rPr>
          <w:rFonts w:ascii="Arial" w:hAnsi="Arial" w:cs="Arial"/>
          <w:b/>
          <w:bCs/>
          <w:sz w:val="24"/>
          <w:szCs w:val="24"/>
        </w:rPr>
        <w:t xml:space="preserve"> FIGURES</w:t>
      </w:r>
    </w:p>
    <w:p w14:paraId="457D6004" w14:textId="18E147F3" w:rsidR="006B66A9" w:rsidRPr="00AA42CD" w:rsidRDefault="006B66A9" w:rsidP="0060527B">
      <w:pPr>
        <w:wordWrap/>
        <w:spacing w:after="0" w:line="360" w:lineRule="auto"/>
        <w:rPr>
          <w:rFonts w:ascii="Arial" w:hAnsi="Arial" w:cs="Arial"/>
          <w:szCs w:val="20"/>
        </w:rPr>
      </w:pPr>
    </w:p>
    <w:p w14:paraId="159203CE" w14:textId="12AD341B" w:rsidR="008D5FDF" w:rsidRPr="00AA42CD" w:rsidRDefault="009E2FD4" w:rsidP="008D5FDF">
      <w:pPr>
        <w:wordWrap/>
        <w:spacing w:after="0" w:line="360" w:lineRule="auto"/>
        <w:jc w:val="center"/>
        <w:rPr>
          <w:rFonts w:ascii="Arial" w:hAnsi="Arial" w:cs="Arial"/>
          <w:szCs w:val="20"/>
        </w:rPr>
      </w:pPr>
      <w:r>
        <w:rPr>
          <w:rFonts w:ascii="Arial" w:hAnsi="Arial" w:cs="Arial"/>
          <w:noProof/>
          <w:szCs w:val="20"/>
        </w:rPr>
        <w:drawing>
          <wp:inline distT="0" distB="0" distL="0" distR="0" wp14:anchorId="6E0124B1" wp14:editId="614E44AB">
            <wp:extent cx="4273550" cy="471233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3550" cy="4712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0CEB328" w14:textId="3795721A" w:rsidR="008D5FDF" w:rsidRPr="00AA42CD" w:rsidRDefault="008D5FDF" w:rsidP="0060527B">
      <w:pPr>
        <w:wordWrap/>
        <w:spacing w:after="0" w:line="360" w:lineRule="auto"/>
        <w:rPr>
          <w:rFonts w:ascii="Arial" w:hAnsi="Arial" w:cs="Arial"/>
          <w:szCs w:val="20"/>
        </w:rPr>
      </w:pPr>
      <w:r w:rsidRPr="00AA42CD">
        <w:rPr>
          <w:rFonts w:ascii="Arial" w:hAnsi="Arial" w:cs="Arial"/>
          <w:b/>
          <w:szCs w:val="20"/>
        </w:rPr>
        <w:t>Figure 1.</w:t>
      </w:r>
      <w:r w:rsidRPr="00AA42CD">
        <w:rPr>
          <w:rFonts w:ascii="Arial" w:hAnsi="Arial" w:cs="Arial"/>
          <w:szCs w:val="20"/>
        </w:rPr>
        <w:t xml:space="preserve"> </w:t>
      </w:r>
      <w:r w:rsidR="00BD5284" w:rsidRPr="00AA42CD">
        <w:rPr>
          <w:rFonts w:ascii="Arial" w:hAnsi="Arial" w:cs="Arial"/>
          <w:szCs w:val="20"/>
        </w:rPr>
        <w:t xml:space="preserve">Principal component analysis on the </w:t>
      </w:r>
      <w:r w:rsidR="00D9587B">
        <w:rPr>
          <w:rFonts w:ascii="Arial" w:hAnsi="Arial" w:cs="Arial"/>
          <w:szCs w:val="20"/>
        </w:rPr>
        <w:t>integrated</w:t>
      </w:r>
      <w:r w:rsidR="00BD5284" w:rsidRPr="00AA42CD">
        <w:rPr>
          <w:rFonts w:ascii="Arial" w:hAnsi="Arial" w:cs="Arial"/>
          <w:szCs w:val="20"/>
        </w:rPr>
        <w:t xml:space="preserve"> datasets of </w:t>
      </w:r>
      <w:r w:rsidR="00D9587B">
        <w:rPr>
          <w:rFonts w:ascii="Arial" w:hAnsi="Arial" w:cs="Arial"/>
          <w:szCs w:val="20"/>
        </w:rPr>
        <w:t>blood</w:t>
      </w:r>
      <w:r w:rsidR="00BD5284" w:rsidRPr="00AA42CD">
        <w:rPr>
          <w:rFonts w:ascii="Arial" w:hAnsi="Arial" w:cs="Arial"/>
          <w:szCs w:val="20"/>
        </w:rPr>
        <w:t xml:space="preserve"> transcriptomics before (A) and after (B) normalization and batch correction. QC=quality control.</w:t>
      </w:r>
    </w:p>
    <w:p w14:paraId="6C851BF0" w14:textId="77777777" w:rsidR="008D5FDF" w:rsidRPr="00AA42CD" w:rsidRDefault="008D5FDF" w:rsidP="0060527B">
      <w:pPr>
        <w:wordWrap/>
        <w:spacing w:after="0" w:line="360" w:lineRule="auto"/>
        <w:rPr>
          <w:rFonts w:ascii="Arial" w:hAnsi="Arial" w:cs="Arial"/>
          <w:szCs w:val="20"/>
        </w:rPr>
      </w:pPr>
    </w:p>
    <w:p w14:paraId="3462858C" w14:textId="13F625D5" w:rsidR="008D5FDF" w:rsidRPr="00AA42CD" w:rsidRDefault="008D5FDF">
      <w:pPr>
        <w:widowControl/>
        <w:wordWrap/>
        <w:autoSpaceDE/>
        <w:autoSpaceDN/>
        <w:rPr>
          <w:rFonts w:ascii="Arial" w:hAnsi="Arial" w:cs="Arial"/>
          <w:szCs w:val="20"/>
        </w:rPr>
      </w:pPr>
      <w:r w:rsidRPr="00AA42CD">
        <w:rPr>
          <w:rFonts w:ascii="Arial" w:hAnsi="Arial" w:cs="Arial"/>
          <w:szCs w:val="20"/>
        </w:rPr>
        <w:br w:type="page"/>
      </w:r>
    </w:p>
    <w:p w14:paraId="65160596" w14:textId="77777777" w:rsidR="008D5FDF" w:rsidRPr="00AA42CD" w:rsidRDefault="008D5FDF" w:rsidP="0060527B">
      <w:pPr>
        <w:wordWrap/>
        <w:spacing w:after="0" w:line="360" w:lineRule="auto"/>
        <w:rPr>
          <w:rFonts w:ascii="Arial" w:hAnsi="Arial" w:cs="Arial"/>
          <w:szCs w:val="20"/>
        </w:rPr>
      </w:pPr>
    </w:p>
    <w:p w14:paraId="15A5C7FE" w14:textId="77777777" w:rsidR="008D5FDF" w:rsidRPr="00AA42CD" w:rsidRDefault="008D5FDF" w:rsidP="0060527B">
      <w:pPr>
        <w:wordWrap/>
        <w:spacing w:after="0" w:line="360" w:lineRule="auto"/>
        <w:rPr>
          <w:rFonts w:ascii="Arial" w:hAnsi="Arial" w:cs="Arial"/>
          <w:szCs w:val="20"/>
        </w:rPr>
      </w:pPr>
    </w:p>
    <w:p w14:paraId="2F9EFBED" w14:textId="334F6157" w:rsidR="006B66A9" w:rsidRPr="00AA42CD" w:rsidRDefault="003953D0" w:rsidP="0055781F">
      <w:pPr>
        <w:wordWrap/>
        <w:spacing w:after="0" w:line="360" w:lineRule="auto"/>
        <w:jc w:val="center"/>
        <w:rPr>
          <w:rFonts w:ascii="Arial" w:hAnsi="Arial" w:cs="Arial"/>
          <w:szCs w:val="20"/>
        </w:rPr>
      </w:pPr>
      <w:r>
        <w:rPr>
          <w:noProof/>
        </w:rPr>
        <w:drawing>
          <wp:inline distT="0" distB="0" distL="0" distR="0" wp14:anchorId="07561AFA" wp14:editId="2C5B8725">
            <wp:extent cx="2464479" cy="2464479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74326" cy="2474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E00325" w14:textId="7B47155A" w:rsidR="005F4CA6" w:rsidRPr="00AA42CD" w:rsidRDefault="006B66A9" w:rsidP="0060527B">
      <w:pPr>
        <w:wordWrap/>
        <w:spacing w:after="0" w:line="360" w:lineRule="auto"/>
        <w:rPr>
          <w:rFonts w:ascii="Arial" w:hAnsi="Arial" w:cs="Arial"/>
          <w:szCs w:val="20"/>
        </w:rPr>
      </w:pPr>
      <w:r w:rsidRPr="00AA42CD">
        <w:rPr>
          <w:rFonts w:ascii="Arial" w:hAnsi="Arial" w:cs="Arial"/>
          <w:b/>
          <w:bCs/>
          <w:szCs w:val="20"/>
        </w:rPr>
        <w:t xml:space="preserve">Figure </w:t>
      </w:r>
      <w:r w:rsidR="00BD5284" w:rsidRPr="00AA42CD">
        <w:rPr>
          <w:rFonts w:ascii="Arial" w:hAnsi="Arial" w:cs="Arial"/>
          <w:b/>
          <w:bCs/>
          <w:szCs w:val="20"/>
        </w:rPr>
        <w:t>2</w:t>
      </w:r>
      <w:r w:rsidRPr="00AA42CD">
        <w:rPr>
          <w:rFonts w:ascii="Arial" w:hAnsi="Arial" w:cs="Arial"/>
          <w:b/>
          <w:bCs/>
          <w:szCs w:val="20"/>
        </w:rPr>
        <w:t>.</w:t>
      </w:r>
      <w:r w:rsidRPr="00AA42CD">
        <w:rPr>
          <w:rFonts w:ascii="Arial" w:hAnsi="Arial" w:cs="Arial"/>
          <w:szCs w:val="20"/>
        </w:rPr>
        <w:t xml:space="preserve"> </w:t>
      </w:r>
      <w:r w:rsidR="00BD5284" w:rsidRPr="00AA42CD">
        <w:rPr>
          <w:rFonts w:ascii="Arial" w:hAnsi="Arial" w:cs="Arial"/>
          <w:szCs w:val="20"/>
        </w:rPr>
        <w:t>Venn diagram of differentially expressed genes (DEGs</w:t>
      </w:r>
      <w:r w:rsidR="005F4CA6" w:rsidRPr="00AA42CD">
        <w:rPr>
          <w:rFonts w:ascii="Arial" w:hAnsi="Arial" w:cs="Arial"/>
          <w:szCs w:val="20"/>
        </w:rPr>
        <w:t xml:space="preserve">). </w:t>
      </w:r>
    </w:p>
    <w:p w14:paraId="23D4DCB5" w14:textId="77777777" w:rsidR="005F4CA6" w:rsidRPr="00AA42CD" w:rsidRDefault="005F4CA6" w:rsidP="0060527B">
      <w:pPr>
        <w:wordWrap/>
        <w:spacing w:after="0" w:line="360" w:lineRule="auto"/>
        <w:rPr>
          <w:rFonts w:ascii="Arial" w:hAnsi="Arial" w:cs="Arial"/>
          <w:szCs w:val="20"/>
        </w:rPr>
      </w:pPr>
    </w:p>
    <w:p w14:paraId="52BBDA72" w14:textId="77777777" w:rsidR="005F4CA6" w:rsidRPr="00AA42CD" w:rsidRDefault="005F4CA6" w:rsidP="0060527B">
      <w:pPr>
        <w:wordWrap/>
        <w:spacing w:after="0" w:line="360" w:lineRule="auto"/>
        <w:rPr>
          <w:rFonts w:ascii="Arial" w:hAnsi="Arial" w:cs="Arial"/>
          <w:szCs w:val="20"/>
        </w:rPr>
      </w:pPr>
    </w:p>
    <w:p w14:paraId="305F5D9E" w14:textId="77777777" w:rsidR="005F4CA6" w:rsidRPr="00AA42CD" w:rsidRDefault="005F4CA6" w:rsidP="0060527B">
      <w:pPr>
        <w:wordWrap/>
        <w:spacing w:after="0" w:line="360" w:lineRule="auto"/>
        <w:rPr>
          <w:rFonts w:ascii="Arial" w:hAnsi="Arial" w:cs="Arial"/>
          <w:szCs w:val="20"/>
        </w:rPr>
      </w:pPr>
    </w:p>
    <w:p w14:paraId="207F4B16" w14:textId="0BB81737" w:rsidR="005F4CA6" w:rsidRPr="00AA42CD" w:rsidRDefault="005F4CA6" w:rsidP="0060527B">
      <w:pPr>
        <w:wordWrap/>
        <w:spacing w:after="0" w:line="360" w:lineRule="auto"/>
        <w:rPr>
          <w:rFonts w:ascii="Arial" w:hAnsi="Arial" w:cs="Arial"/>
          <w:szCs w:val="20"/>
        </w:rPr>
        <w:sectPr w:rsidR="005F4CA6" w:rsidRPr="00AA42CD">
          <w:footerReference w:type="default" r:id="rId8"/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</w:p>
    <w:p w14:paraId="286B2F82" w14:textId="7D51C36A" w:rsidR="002D0C0E" w:rsidRPr="00AA42CD" w:rsidRDefault="003F0851" w:rsidP="00885956">
      <w:pPr>
        <w:wordWrap/>
        <w:spacing w:after="0" w:line="360" w:lineRule="auto"/>
        <w:jc w:val="center"/>
        <w:rPr>
          <w:rFonts w:ascii="Arial" w:hAnsi="Arial" w:cs="Arial"/>
          <w:noProof/>
          <w:szCs w:val="20"/>
        </w:rPr>
      </w:pPr>
      <w:r>
        <w:rPr>
          <w:noProof/>
        </w:rPr>
        <w:lastRenderedPageBreak/>
        <w:drawing>
          <wp:inline distT="0" distB="0" distL="0" distR="0" wp14:anchorId="44C2B0DE" wp14:editId="74FF4C44">
            <wp:extent cx="3684203" cy="7470396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686908" cy="74758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6E12D8" w14:textId="710B0997" w:rsidR="00EC68E7" w:rsidRPr="00AA42CD" w:rsidRDefault="004B62CE" w:rsidP="0060527B">
      <w:pPr>
        <w:wordWrap/>
        <w:spacing w:after="0" w:line="360" w:lineRule="auto"/>
        <w:rPr>
          <w:rFonts w:ascii="Arial" w:hAnsi="Arial" w:cs="Arial"/>
          <w:szCs w:val="20"/>
        </w:rPr>
        <w:sectPr w:rsidR="00EC68E7" w:rsidRPr="00AA42CD" w:rsidSect="00885956"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  <w:r w:rsidRPr="00AA42CD">
        <w:rPr>
          <w:rFonts w:ascii="Arial" w:hAnsi="Arial" w:cs="Arial"/>
          <w:b/>
          <w:bCs/>
          <w:szCs w:val="20"/>
        </w:rPr>
        <w:t xml:space="preserve">Figure </w:t>
      </w:r>
      <w:r w:rsidR="003D5E27" w:rsidRPr="00AA42CD">
        <w:rPr>
          <w:rFonts w:ascii="Arial" w:hAnsi="Arial" w:cs="Arial"/>
          <w:b/>
          <w:bCs/>
          <w:szCs w:val="20"/>
        </w:rPr>
        <w:t>3</w:t>
      </w:r>
      <w:r w:rsidRPr="00AA42CD">
        <w:rPr>
          <w:rFonts w:ascii="Arial" w:hAnsi="Arial" w:cs="Arial"/>
          <w:b/>
          <w:bCs/>
          <w:szCs w:val="20"/>
        </w:rPr>
        <w:t>.</w:t>
      </w:r>
      <w:r w:rsidRPr="00AA42CD">
        <w:rPr>
          <w:rFonts w:ascii="Arial" w:hAnsi="Arial" w:cs="Arial"/>
          <w:szCs w:val="20"/>
        </w:rPr>
        <w:t xml:space="preserve"> </w:t>
      </w:r>
      <w:r w:rsidR="00717AA9" w:rsidRPr="00AA42CD">
        <w:rPr>
          <w:rFonts w:ascii="Arial" w:hAnsi="Arial" w:cs="Arial"/>
          <w:szCs w:val="20"/>
        </w:rPr>
        <w:t>F</w:t>
      </w:r>
      <w:r w:rsidR="007D57BD" w:rsidRPr="00AA42CD">
        <w:rPr>
          <w:rFonts w:ascii="Arial" w:hAnsi="Arial" w:cs="Arial"/>
          <w:szCs w:val="20"/>
        </w:rPr>
        <w:t xml:space="preserve">unctional enrichment profiles in terms of Gene Ontology (GO) – Biological Process (BP) and </w:t>
      </w:r>
      <w:proofErr w:type="spellStart"/>
      <w:r w:rsidR="007D57BD" w:rsidRPr="00AA42CD">
        <w:rPr>
          <w:rFonts w:ascii="Arial" w:hAnsi="Arial" w:cs="Arial"/>
          <w:szCs w:val="20"/>
        </w:rPr>
        <w:t>Reactome</w:t>
      </w:r>
      <w:proofErr w:type="spellEnd"/>
      <w:r w:rsidR="007D57BD" w:rsidRPr="00AA42CD">
        <w:rPr>
          <w:rFonts w:ascii="Arial" w:hAnsi="Arial" w:cs="Arial"/>
          <w:szCs w:val="20"/>
        </w:rPr>
        <w:t xml:space="preserve"> pathways by the DEGs of </w:t>
      </w:r>
      <w:r w:rsidR="00D9587B">
        <w:rPr>
          <w:rFonts w:ascii="Arial" w:hAnsi="Arial" w:cs="Arial"/>
          <w:szCs w:val="20"/>
        </w:rPr>
        <w:t xml:space="preserve">C1, C2, and C3 subgroups. </w:t>
      </w:r>
      <w:r w:rsidR="00717AA9" w:rsidRPr="00AA42CD">
        <w:rPr>
          <w:rFonts w:ascii="Arial" w:hAnsi="Arial" w:cs="Arial"/>
          <w:szCs w:val="20"/>
        </w:rPr>
        <w:t xml:space="preserve">Enrichment was measured by Fisher’s exact test using the </w:t>
      </w:r>
      <w:proofErr w:type="spellStart"/>
      <w:r w:rsidR="00717AA9" w:rsidRPr="00AA42CD">
        <w:rPr>
          <w:rFonts w:ascii="Arial" w:hAnsi="Arial" w:cs="Arial"/>
          <w:szCs w:val="20"/>
        </w:rPr>
        <w:t>enrichR</w:t>
      </w:r>
      <w:proofErr w:type="spellEnd"/>
      <w:r w:rsidR="00717AA9" w:rsidRPr="00AA42CD">
        <w:rPr>
          <w:rFonts w:ascii="Arial" w:hAnsi="Arial" w:cs="Arial"/>
          <w:szCs w:val="20"/>
        </w:rPr>
        <w:t xml:space="preserve"> package.</w:t>
      </w:r>
    </w:p>
    <w:p w14:paraId="187B7900" w14:textId="50D59F8A" w:rsidR="002D0C0E" w:rsidRPr="00AA42CD" w:rsidRDefault="002D0C0E" w:rsidP="0060527B">
      <w:pPr>
        <w:widowControl/>
        <w:wordWrap/>
        <w:autoSpaceDE/>
        <w:autoSpaceDN/>
        <w:spacing w:after="0" w:line="360" w:lineRule="auto"/>
        <w:rPr>
          <w:rFonts w:ascii="Arial" w:hAnsi="Arial" w:cs="Arial"/>
          <w:szCs w:val="20"/>
        </w:rPr>
      </w:pPr>
    </w:p>
    <w:p w14:paraId="38C00728" w14:textId="336827BB" w:rsidR="00C56491" w:rsidRPr="00AA42CD" w:rsidRDefault="00EC3638" w:rsidP="0055781F">
      <w:pPr>
        <w:wordWrap/>
        <w:spacing w:after="0" w:line="360" w:lineRule="auto"/>
        <w:jc w:val="center"/>
        <w:rPr>
          <w:rFonts w:ascii="Arial" w:hAnsi="Arial" w:cs="Arial"/>
          <w:szCs w:val="20"/>
        </w:rPr>
      </w:pPr>
      <w:r>
        <w:rPr>
          <w:rFonts w:ascii="Arial" w:hAnsi="Arial" w:cs="Arial"/>
          <w:noProof/>
          <w:szCs w:val="20"/>
        </w:rPr>
        <w:drawing>
          <wp:inline distT="0" distB="0" distL="0" distR="0" wp14:anchorId="509742D2" wp14:editId="78B5DF0A">
            <wp:extent cx="3001719" cy="4525860"/>
            <wp:effectExtent l="0" t="0" r="8255" b="825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8975" cy="45368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D431BF9" w14:textId="4F7BD546" w:rsidR="00B50F25" w:rsidRPr="00AA42CD" w:rsidRDefault="00C56491" w:rsidP="00B50F25">
      <w:pPr>
        <w:wordWrap/>
        <w:spacing w:after="0" w:line="360" w:lineRule="auto"/>
        <w:rPr>
          <w:rFonts w:ascii="Arial" w:hAnsi="Arial" w:cs="Arial"/>
          <w:szCs w:val="20"/>
        </w:rPr>
      </w:pPr>
      <w:r w:rsidRPr="00AA42CD">
        <w:rPr>
          <w:rFonts w:ascii="Arial" w:hAnsi="Arial" w:cs="Arial"/>
          <w:b/>
          <w:bCs/>
          <w:szCs w:val="20"/>
        </w:rPr>
        <w:t xml:space="preserve">Figure </w:t>
      </w:r>
      <w:r w:rsidR="003D5E27" w:rsidRPr="00AA42CD">
        <w:rPr>
          <w:rFonts w:ascii="Arial" w:hAnsi="Arial" w:cs="Arial"/>
          <w:b/>
          <w:bCs/>
          <w:szCs w:val="20"/>
        </w:rPr>
        <w:t>4</w:t>
      </w:r>
      <w:r w:rsidRPr="00AA42CD">
        <w:rPr>
          <w:rFonts w:ascii="Arial" w:hAnsi="Arial" w:cs="Arial"/>
          <w:b/>
          <w:bCs/>
          <w:szCs w:val="20"/>
        </w:rPr>
        <w:t>.</w:t>
      </w:r>
      <w:r w:rsidRPr="00AA42CD">
        <w:rPr>
          <w:rFonts w:ascii="Arial" w:hAnsi="Arial" w:cs="Arial"/>
          <w:szCs w:val="20"/>
        </w:rPr>
        <w:t xml:space="preserve"> </w:t>
      </w:r>
      <w:r w:rsidR="00D9587B">
        <w:rPr>
          <w:rFonts w:ascii="Arial" w:hAnsi="Arial" w:cs="Arial"/>
          <w:szCs w:val="20"/>
        </w:rPr>
        <w:t xml:space="preserve">Normalized enrichment score (NES) of the JIA-associated signaling pathways and biological processes across the three </w:t>
      </w:r>
      <w:proofErr w:type="spellStart"/>
      <w:r w:rsidR="00D9587B">
        <w:rPr>
          <w:rFonts w:ascii="Arial" w:hAnsi="Arial" w:cs="Arial"/>
          <w:szCs w:val="20"/>
        </w:rPr>
        <w:t>sJIA</w:t>
      </w:r>
      <w:proofErr w:type="spellEnd"/>
      <w:r w:rsidR="00D9587B">
        <w:rPr>
          <w:rFonts w:ascii="Arial" w:hAnsi="Arial" w:cs="Arial"/>
          <w:szCs w:val="20"/>
        </w:rPr>
        <w:t xml:space="preserve"> subgroups by g</w:t>
      </w:r>
      <w:r w:rsidR="007D57BD" w:rsidRPr="00AA42CD">
        <w:rPr>
          <w:rFonts w:ascii="Arial" w:hAnsi="Arial" w:cs="Arial"/>
          <w:szCs w:val="20"/>
        </w:rPr>
        <w:t>ene-set enrichment analysis (GSEA)</w:t>
      </w:r>
      <w:r w:rsidR="00D9587B">
        <w:rPr>
          <w:rFonts w:ascii="Arial" w:hAnsi="Arial" w:cs="Arial"/>
          <w:szCs w:val="20"/>
        </w:rPr>
        <w:t>.</w:t>
      </w:r>
    </w:p>
    <w:p w14:paraId="566D8411" w14:textId="7F3723E3" w:rsidR="00C56491" w:rsidRPr="00AA42CD" w:rsidRDefault="00C56491" w:rsidP="0060527B">
      <w:pPr>
        <w:wordWrap/>
        <w:spacing w:after="0" w:line="360" w:lineRule="auto"/>
        <w:rPr>
          <w:rFonts w:ascii="Arial" w:hAnsi="Arial" w:cs="Arial"/>
          <w:szCs w:val="20"/>
        </w:rPr>
      </w:pPr>
    </w:p>
    <w:p w14:paraId="0168BB5F" w14:textId="29E8E163" w:rsidR="00C9490C" w:rsidRPr="00AA42CD" w:rsidRDefault="00C9490C">
      <w:pPr>
        <w:widowControl/>
        <w:wordWrap/>
        <w:autoSpaceDE/>
        <w:autoSpaceDN/>
        <w:rPr>
          <w:rFonts w:ascii="Arial" w:hAnsi="Arial" w:cs="Arial"/>
          <w:szCs w:val="20"/>
        </w:rPr>
      </w:pPr>
      <w:r w:rsidRPr="00AA42CD">
        <w:rPr>
          <w:rFonts w:ascii="Arial" w:hAnsi="Arial" w:cs="Arial"/>
          <w:szCs w:val="20"/>
        </w:rPr>
        <w:br w:type="page"/>
      </w:r>
    </w:p>
    <w:p w14:paraId="661B5D71" w14:textId="600B81EE" w:rsidR="00C9490C" w:rsidRPr="00AA42CD" w:rsidRDefault="00EB2433" w:rsidP="0060527B">
      <w:pPr>
        <w:wordWrap/>
        <w:spacing w:after="0" w:line="360" w:lineRule="auto"/>
        <w:rPr>
          <w:rFonts w:ascii="Arial" w:hAnsi="Arial" w:cs="Arial"/>
          <w:szCs w:val="20"/>
        </w:rPr>
      </w:pPr>
      <w:r>
        <w:rPr>
          <w:noProof/>
        </w:rPr>
        <w:lastRenderedPageBreak/>
        <w:drawing>
          <wp:inline distT="0" distB="0" distL="0" distR="0" wp14:anchorId="348480FF" wp14:editId="129DDAA1">
            <wp:extent cx="5012900" cy="7300530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018336" cy="73084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B98138" w14:textId="5CB1BC2A" w:rsidR="00C9490C" w:rsidRPr="00AA42CD" w:rsidRDefault="00C9490C" w:rsidP="00D9587B">
      <w:pPr>
        <w:wordWrap/>
        <w:spacing w:after="0" w:line="360" w:lineRule="auto"/>
        <w:rPr>
          <w:rFonts w:ascii="Arial" w:hAnsi="Arial" w:cs="Arial"/>
          <w:szCs w:val="20"/>
        </w:rPr>
      </w:pPr>
      <w:r w:rsidRPr="00AA42CD">
        <w:rPr>
          <w:rFonts w:ascii="Arial" w:hAnsi="Arial" w:cs="Arial"/>
          <w:b/>
          <w:szCs w:val="20"/>
        </w:rPr>
        <w:t xml:space="preserve">Figure </w:t>
      </w:r>
      <w:r w:rsidR="003D5E27" w:rsidRPr="00AA42CD">
        <w:rPr>
          <w:rFonts w:ascii="Arial" w:hAnsi="Arial" w:cs="Arial"/>
          <w:b/>
          <w:szCs w:val="20"/>
        </w:rPr>
        <w:t>5</w:t>
      </w:r>
      <w:r w:rsidRPr="00AA42CD">
        <w:rPr>
          <w:rFonts w:ascii="Arial" w:hAnsi="Arial" w:cs="Arial"/>
          <w:b/>
          <w:szCs w:val="20"/>
        </w:rPr>
        <w:t>.</w:t>
      </w:r>
      <w:r w:rsidRPr="00AA42CD">
        <w:rPr>
          <w:rFonts w:ascii="Arial" w:hAnsi="Arial" w:cs="Arial"/>
          <w:szCs w:val="20"/>
        </w:rPr>
        <w:t xml:space="preserve"> </w:t>
      </w:r>
      <w:r w:rsidR="00D9587B">
        <w:rPr>
          <w:rFonts w:ascii="Arial" w:hAnsi="Arial" w:cs="Arial"/>
          <w:szCs w:val="20"/>
        </w:rPr>
        <w:t>B</w:t>
      </w:r>
      <w:r w:rsidR="00D9587B" w:rsidRPr="00D9587B">
        <w:rPr>
          <w:rFonts w:ascii="Arial" w:hAnsi="Arial" w:cs="Arial"/>
          <w:szCs w:val="20"/>
        </w:rPr>
        <w:t>lood transcriptome modular repertoire analysis</w:t>
      </w:r>
      <w:r w:rsidR="00D9587B">
        <w:rPr>
          <w:rFonts w:ascii="Arial" w:hAnsi="Arial" w:cs="Arial"/>
          <w:szCs w:val="20"/>
        </w:rPr>
        <w:t xml:space="preserve">. The fingerprint grid plot of the three </w:t>
      </w:r>
      <w:proofErr w:type="spellStart"/>
      <w:r w:rsidR="00D9587B">
        <w:rPr>
          <w:rFonts w:ascii="Arial" w:hAnsi="Arial" w:cs="Arial"/>
          <w:szCs w:val="20"/>
        </w:rPr>
        <w:t>sJIA</w:t>
      </w:r>
      <w:proofErr w:type="spellEnd"/>
      <w:r w:rsidR="00D9587B">
        <w:rPr>
          <w:rFonts w:ascii="Arial" w:hAnsi="Arial" w:cs="Arial"/>
          <w:szCs w:val="20"/>
        </w:rPr>
        <w:t xml:space="preserve"> subgroups. </w:t>
      </w:r>
      <w:r w:rsidR="00D9587B" w:rsidRPr="00D9587B">
        <w:rPr>
          <w:rFonts w:ascii="Arial" w:hAnsi="Arial" w:cs="Arial"/>
          <w:szCs w:val="20"/>
        </w:rPr>
        <w:t>The position of the modules on the grid is fixed</w:t>
      </w:r>
      <w:r w:rsidR="00D9587B">
        <w:rPr>
          <w:rFonts w:ascii="Arial" w:hAnsi="Arial" w:cs="Arial"/>
          <w:szCs w:val="20"/>
        </w:rPr>
        <w:t xml:space="preserve"> and annotated as in the lowest panel.</w:t>
      </w:r>
      <w:r w:rsidR="00D9587B" w:rsidRPr="00D9587B">
        <w:rPr>
          <w:rFonts w:ascii="Arial" w:hAnsi="Arial" w:cs="Arial"/>
          <w:szCs w:val="20"/>
        </w:rPr>
        <w:t xml:space="preserve"> The percent response of individual modules is represented on the grid by red and blue spots of varying color intensity denoting a predominant increase or decrease in abundance, respectively.</w:t>
      </w:r>
      <w:r w:rsidR="00D9587B">
        <w:rPr>
          <w:rFonts w:ascii="Arial" w:hAnsi="Arial" w:cs="Arial"/>
          <w:szCs w:val="20"/>
        </w:rPr>
        <w:t xml:space="preserve"> </w:t>
      </w:r>
    </w:p>
    <w:p w14:paraId="58AFD3A4" w14:textId="20BDB514" w:rsidR="00EF7201" w:rsidRPr="00AA42CD" w:rsidRDefault="00B41576">
      <w:pPr>
        <w:widowControl/>
        <w:wordWrap/>
        <w:autoSpaceDE/>
        <w:autoSpaceDN/>
        <w:rPr>
          <w:rFonts w:ascii="Arial" w:hAnsi="Arial" w:cs="Arial"/>
          <w:szCs w:val="20"/>
        </w:rPr>
      </w:pPr>
      <w:r>
        <w:rPr>
          <w:rFonts w:ascii="Arial" w:hAnsi="Arial" w:cs="Arial"/>
          <w:noProof/>
          <w:szCs w:val="20"/>
        </w:rPr>
        <w:lastRenderedPageBreak/>
        <w:drawing>
          <wp:inline distT="0" distB="0" distL="0" distR="0" wp14:anchorId="2C901EE6" wp14:editId="2642E816">
            <wp:extent cx="5723243" cy="2124342"/>
            <wp:effectExtent l="0" t="0" r="0" b="952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7145" cy="21369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1BE778A" w14:textId="298C7A04" w:rsidR="005846A7" w:rsidRPr="00AA42CD" w:rsidRDefault="00EF7201" w:rsidP="0060527B">
      <w:pPr>
        <w:wordWrap/>
        <w:spacing w:after="0" w:line="360" w:lineRule="auto"/>
        <w:rPr>
          <w:rFonts w:ascii="Arial" w:hAnsi="Arial" w:cs="Arial"/>
          <w:szCs w:val="20"/>
        </w:rPr>
      </w:pPr>
      <w:r w:rsidRPr="00AA42CD">
        <w:rPr>
          <w:rFonts w:ascii="Arial" w:hAnsi="Arial" w:cs="Arial"/>
          <w:b/>
          <w:szCs w:val="20"/>
        </w:rPr>
        <w:t xml:space="preserve">Figure </w:t>
      </w:r>
      <w:r w:rsidR="003D5E27" w:rsidRPr="00AA42CD">
        <w:rPr>
          <w:rFonts w:ascii="Arial" w:hAnsi="Arial" w:cs="Arial"/>
          <w:b/>
          <w:szCs w:val="20"/>
        </w:rPr>
        <w:t>6</w:t>
      </w:r>
      <w:r w:rsidRPr="00AA42CD">
        <w:rPr>
          <w:rFonts w:ascii="Arial" w:hAnsi="Arial" w:cs="Arial"/>
          <w:b/>
          <w:szCs w:val="20"/>
        </w:rPr>
        <w:t xml:space="preserve">. </w:t>
      </w:r>
      <w:r w:rsidR="00D9587B" w:rsidRPr="00AA42CD">
        <w:rPr>
          <w:rFonts w:ascii="Arial" w:hAnsi="Arial" w:cs="Arial"/>
          <w:szCs w:val="20"/>
        </w:rPr>
        <w:t xml:space="preserve">Gene-set enrichment analysis (GSEA) of the </w:t>
      </w:r>
      <w:r w:rsidR="00D42749">
        <w:rPr>
          <w:rFonts w:ascii="Arial" w:hAnsi="Arial" w:cs="Arial"/>
          <w:szCs w:val="20"/>
        </w:rPr>
        <w:t>IL-1 signaling pathway</w:t>
      </w:r>
      <w:r w:rsidR="00D9587B" w:rsidRPr="00AA42CD">
        <w:rPr>
          <w:rFonts w:ascii="Arial" w:hAnsi="Arial" w:cs="Arial"/>
          <w:szCs w:val="20"/>
        </w:rPr>
        <w:t xml:space="preserve">. </w:t>
      </w:r>
      <w:r w:rsidR="00D42749">
        <w:rPr>
          <w:rFonts w:ascii="Arial" w:hAnsi="Arial" w:cs="Arial"/>
          <w:szCs w:val="20"/>
        </w:rPr>
        <w:t xml:space="preserve">(Left panel) </w:t>
      </w:r>
      <w:r w:rsidR="00D9587B" w:rsidRPr="00AA42CD">
        <w:rPr>
          <w:rFonts w:ascii="Arial" w:hAnsi="Arial" w:cs="Arial"/>
          <w:szCs w:val="20"/>
        </w:rPr>
        <w:t>GSEA plot</w:t>
      </w:r>
      <w:r w:rsidR="00D42749">
        <w:rPr>
          <w:rFonts w:ascii="Arial" w:hAnsi="Arial" w:cs="Arial"/>
          <w:szCs w:val="20"/>
        </w:rPr>
        <w:t>. (Right panel) t</w:t>
      </w:r>
      <w:r w:rsidR="00D9587B" w:rsidRPr="00AA42CD">
        <w:rPr>
          <w:rFonts w:ascii="Arial" w:hAnsi="Arial" w:cs="Arial"/>
          <w:szCs w:val="20"/>
        </w:rPr>
        <w:t>he leading-edge genes.</w:t>
      </w:r>
      <w:r w:rsidR="00D42749">
        <w:rPr>
          <w:rFonts w:ascii="Arial" w:hAnsi="Arial" w:cs="Arial"/>
          <w:szCs w:val="20"/>
        </w:rPr>
        <w:t xml:space="preserve"> </w:t>
      </w:r>
      <w:proofErr w:type="spellStart"/>
      <w:r w:rsidR="00D42749">
        <w:rPr>
          <w:rFonts w:ascii="Arial" w:hAnsi="Arial" w:cs="Arial"/>
          <w:szCs w:val="20"/>
        </w:rPr>
        <w:t>sJIA</w:t>
      </w:r>
      <w:proofErr w:type="spellEnd"/>
      <w:r w:rsidR="00D42749">
        <w:rPr>
          <w:rFonts w:ascii="Arial" w:hAnsi="Arial" w:cs="Arial"/>
          <w:szCs w:val="20"/>
        </w:rPr>
        <w:t>=systemic juvenile idiopathic arthritis, NC=normal control.</w:t>
      </w:r>
    </w:p>
    <w:p w14:paraId="44562E28" w14:textId="39358F32" w:rsidR="002B501A" w:rsidRPr="00AA42CD" w:rsidRDefault="002B501A">
      <w:pPr>
        <w:widowControl/>
        <w:wordWrap/>
        <w:autoSpaceDE/>
        <w:autoSpaceDN/>
        <w:rPr>
          <w:rFonts w:ascii="Arial" w:hAnsi="Arial" w:cs="Arial"/>
          <w:szCs w:val="20"/>
        </w:rPr>
      </w:pPr>
      <w:r w:rsidRPr="00AA42CD">
        <w:rPr>
          <w:rFonts w:ascii="Arial" w:hAnsi="Arial" w:cs="Arial"/>
          <w:szCs w:val="20"/>
        </w:rPr>
        <w:br w:type="page"/>
      </w:r>
    </w:p>
    <w:p w14:paraId="1C6109D4" w14:textId="06DE85A2" w:rsidR="007C4B92" w:rsidRPr="00AA42CD" w:rsidRDefault="00E34588" w:rsidP="007C4B92">
      <w:pPr>
        <w:wordWrap/>
        <w:spacing w:after="0" w:line="360" w:lineRule="auto"/>
        <w:jc w:val="center"/>
        <w:rPr>
          <w:rFonts w:ascii="Arial" w:hAnsi="Arial" w:cs="Arial"/>
          <w:szCs w:val="20"/>
        </w:rPr>
      </w:pPr>
      <w:r>
        <w:rPr>
          <w:noProof/>
        </w:rPr>
        <w:lastRenderedPageBreak/>
        <w:drawing>
          <wp:inline distT="0" distB="0" distL="0" distR="0" wp14:anchorId="21B95658" wp14:editId="78C54584">
            <wp:extent cx="5731510" cy="5973445"/>
            <wp:effectExtent l="0" t="0" r="2540" b="825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973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7013F8" w14:textId="0D31AE5E" w:rsidR="007C4B92" w:rsidRPr="00AA42CD" w:rsidRDefault="007C4B92" w:rsidP="007C4B92">
      <w:pPr>
        <w:wordWrap/>
        <w:spacing w:after="0" w:line="360" w:lineRule="auto"/>
        <w:rPr>
          <w:rFonts w:ascii="Arial" w:hAnsi="Arial" w:cs="Arial"/>
          <w:szCs w:val="20"/>
        </w:rPr>
      </w:pPr>
      <w:r w:rsidRPr="00AA42CD">
        <w:rPr>
          <w:rFonts w:ascii="Arial" w:hAnsi="Arial" w:cs="Arial"/>
          <w:b/>
          <w:szCs w:val="20"/>
        </w:rPr>
        <w:t>Figure 7</w:t>
      </w:r>
      <w:r w:rsidRPr="00AA42CD">
        <w:rPr>
          <w:rFonts w:ascii="Arial" w:hAnsi="Arial" w:cs="Arial"/>
          <w:szCs w:val="20"/>
        </w:rPr>
        <w:t xml:space="preserve">. </w:t>
      </w:r>
      <w:r w:rsidR="00D42749">
        <w:rPr>
          <w:rFonts w:ascii="Arial" w:hAnsi="Arial" w:cs="Arial"/>
          <w:szCs w:val="20"/>
        </w:rPr>
        <w:t>(</w:t>
      </w:r>
      <w:r w:rsidR="00D42749" w:rsidRPr="00D42749">
        <w:rPr>
          <w:rFonts w:ascii="Arial" w:hAnsi="Arial" w:cs="Arial"/>
          <w:b/>
          <w:szCs w:val="20"/>
        </w:rPr>
        <w:t>A</w:t>
      </w:r>
      <w:r w:rsidR="00D42749">
        <w:rPr>
          <w:rFonts w:ascii="Arial" w:hAnsi="Arial" w:cs="Arial"/>
          <w:szCs w:val="20"/>
        </w:rPr>
        <w:t xml:space="preserve">) </w:t>
      </w:r>
      <w:r w:rsidR="00D42749" w:rsidRPr="00D42749">
        <w:rPr>
          <w:rFonts w:ascii="Arial" w:hAnsi="Arial" w:cs="Arial"/>
          <w:szCs w:val="20"/>
        </w:rPr>
        <w:t xml:space="preserve">Temporal changes of the key featured signaling pathways between baseline and day 3 after treatment. </w:t>
      </w:r>
      <w:r w:rsidR="00D42749">
        <w:rPr>
          <w:rFonts w:ascii="Arial" w:hAnsi="Arial" w:cs="Arial"/>
          <w:szCs w:val="20"/>
        </w:rPr>
        <w:t>(</w:t>
      </w:r>
      <w:r w:rsidR="00D42749" w:rsidRPr="00D42749">
        <w:rPr>
          <w:rFonts w:ascii="Arial" w:hAnsi="Arial" w:cs="Arial"/>
          <w:b/>
          <w:szCs w:val="20"/>
        </w:rPr>
        <w:t>B</w:t>
      </w:r>
      <w:r w:rsidR="00D42749">
        <w:rPr>
          <w:rFonts w:ascii="Arial" w:hAnsi="Arial" w:cs="Arial"/>
          <w:szCs w:val="20"/>
        </w:rPr>
        <w:t xml:space="preserve">) </w:t>
      </w:r>
      <w:r w:rsidR="00D42749" w:rsidRPr="00D42749">
        <w:rPr>
          <w:rFonts w:ascii="Arial" w:hAnsi="Arial" w:cs="Arial"/>
          <w:szCs w:val="20"/>
        </w:rPr>
        <w:t xml:space="preserve">Temporal changes of the key featured </w:t>
      </w:r>
      <w:r w:rsidR="00D42749">
        <w:rPr>
          <w:rFonts w:ascii="Arial" w:hAnsi="Arial" w:cs="Arial"/>
          <w:szCs w:val="20"/>
        </w:rPr>
        <w:t>modules</w:t>
      </w:r>
      <w:r w:rsidR="00D42749" w:rsidRPr="00D42749">
        <w:rPr>
          <w:rFonts w:ascii="Arial" w:hAnsi="Arial" w:cs="Arial"/>
          <w:szCs w:val="20"/>
        </w:rPr>
        <w:t xml:space="preserve"> between baseline and day 3 after treatment.</w:t>
      </w:r>
      <w:r w:rsidR="00D42749">
        <w:rPr>
          <w:rFonts w:ascii="Arial" w:hAnsi="Arial" w:cs="Arial"/>
          <w:szCs w:val="20"/>
        </w:rPr>
        <w:t xml:space="preserve"> </w:t>
      </w:r>
      <w:r w:rsidR="00D42749" w:rsidRPr="00D42749">
        <w:rPr>
          <w:rFonts w:ascii="Arial" w:hAnsi="Arial" w:cs="Arial"/>
          <w:szCs w:val="20"/>
        </w:rPr>
        <w:t xml:space="preserve">A paired </w:t>
      </w:r>
      <w:r w:rsidR="00D42749" w:rsidRPr="00D42749">
        <w:rPr>
          <w:rFonts w:ascii="Arial" w:hAnsi="Arial" w:cs="Arial"/>
          <w:i/>
          <w:szCs w:val="20"/>
        </w:rPr>
        <w:t>t</w:t>
      </w:r>
      <w:r w:rsidR="00D42749" w:rsidRPr="00D42749">
        <w:rPr>
          <w:rFonts w:ascii="Arial" w:hAnsi="Arial" w:cs="Arial"/>
          <w:szCs w:val="20"/>
        </w:rPr>
        <w:t xml:space="preserve">-test determined the </w:t>
      </w:r>
      <w:r w:rsidR="00D42749" w:rsidRPr="00D42749">
        <w:rPr>
          <w:rFonts w:ascii="Arial" w:hAnsi="Arial" w:cs="Arial"/>
          <w:i/>
          <w:szCs w:val="20"/>
        </w:rPr>
        <w:t>P</w:t>
      </w:r>
      <w:r w:rsidR="00D42749" w:rsidRPr="00D42749">
        <w:rPr>
          <w:rFonts w:ascii="Arial" w:hAnsi="Arial" w:cs="Arial"/>
          <w:szCs w:val="20"/>
        </w:rPr>
        <w:t>-value.</w:t>
      </w:r>
    </w:p>
    <w:p w14:paraId="322D6E87" w14:textId="20000D15" w:rsidR="007C4B92" w:rsidRPr="00AA42CD" w:rsidRDefault="007C4B92" w:rsidP="007C4B92">
      <w:pPr>
        <w:wordWrap/>
        <w:spacing w:after="0" w:line="360" w:lineRule="auto"/>
        <w:rPr>
          <w:rFonts w:ascii="Arial" w:hAnsi="Arial" w:cs="Arial"/>
          <w:szCs w:val="20"/>
        </w:rPr>
      </w:pPr>
    </w:p>
    <w:p w14:paraId="3D02963A" w14:textId="274A005F" w:rsidR="007C4B92" w:rsidRPr="00AA42CD" w:rsidRDefault="007C4B92" w:rsidP="007C4B92">
      <w:pPr>
        <w:wordWrap/>
        <w:spacing w:after="0" w:line="360" w:lineRule="auto"/>
        <w:rPr>
          <w:rFonts w:ascii="Arial" w:hAnsi="Arial" w:cs="Arial"/>
          <w:szCs w:val="20"/>
        </w:rPr>
      </w:pPr>
    </w:p>
    <w:p w14:paraId="5CFCF30F" w14:textId="6F056947" w:rsidR="007C4B92" w:rsidRPr="00AA42CD" w:rsidRDefault="007C4B92">
      <w:pPr>
        <w:widowControl/>
        <w:wordWrap/>
        <w:autoSpaceDE/>
        <w:autoSpaceDN/>
        <w:rPr>
          <w:rFonts w:ascii="Arial" w:hAnsi="Arial" w:cs="Arial"/>
          <w:szCs w:val="20"/>
        </w:rPr>
      </w:pPr>
      <w:r w:rsidRPr="00AA42CD">
        <w:rPr>
          <w:rFonts w:ascii="Arial" w:hAnsi="Arial" w:cs="Arial"/>
          <w:szCs w:val="20"/>
        </w:rPr>
        <w:br w:type="page"/>
      </w:r>
    </w:p>
    <w:p w14:paraId="3DA4B909" w14:textId="042C6FBD" w:rsidR="007C4B92" w:rsidRPr="00AA42CD" w:rsidRDefault="00BB4CF5" w:rsidP="00BB4CF5">
      <w:pPr>
        <w:wordWrap/>
        <w:spacing w:after="0" w:line="360" w:lineRule="auto"/>
        <w:jc w:val="center"/>
        <w:rPr>
          <w:rFonts w:ascii="Arial" w:hAnsi="Arial" w:cs="Arial"/>
          <w:szCs w:val="20"/>
        </w:rPr>
      </w:pPr>
      <w:r>
        <w:rPr>
          <w:rFonts w:ascii="Arial" w:hAnsi="Arial" w:cs="Arial"/>
          <w:noProof/>
          <w:szCs w:val="20"/>
        </w:rPr>
        <w:lastRenderedPageBreak/>
        <w:drawing>
          <wp:inline distT="0" distB="0" distL="0" distR="0" wp14:anchorId="3D1F4A64" wp14:editId="0C8923BB">
            <wp:extent cx="4810125" cy="5669915"/>
            <wp:effectExtent l="0" t="0" r="9525" b="6985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5669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DAC93E3" w14:textId="1E6761F2" w:rsidR="00CA5284" w:rsidRPr="00AA42CD" w:rsidRDefault="00CA5284" w:rsidP="007C4B92">
      <w:pPr>
        <w:wordWrap/>
        <w:spacing w:after="0" w:line="360" w:lineRule="auto"/>
        <w:rPr>
          <w:rFonts w:ascii="Arial" w:hAnsi="Arial" w:cs="Arial"/>
          <w:szCs w:val="20"/>
        </w:rPr>
      </w:pPr>
    </w:p>
    <w:p w14:paraId="62B1EC27" w14:textId="45FB077E" w:rsidR="00CA5284" w:rsidRDefault="00CA5284" w:rsidP="00CA5284">
      <w:pPr>
        <w:wordWrap/>
        <w:spacing w:after="0" w:line="360" w:lineRule="auto"/>
        <w:jc w:val="left"/>
        <w:rPr>
          <w:rFonts w:ascii="Arial" w:hAnsi="Arial" w:cs="Arial"/>
          <w:szCs w:val="20"/>
        </w:rPr>
      </w:pPr>
      <w:r w:rsidRPr="00AA42CD">
        <w:rPr>
          <w:rFonts w:ascii="Arial" w:hAnsi="Arial" w:cs="Arial"/>
          <w:b/>
          <w:szCs w:val="20"/>
        </w:rPr>
        <w:t xml:space="preserve">Figure </w:t>
      </w:r>
      <w:bookmarkStart w:id="4" w:name="_GoBack"/>
      <w:bookmarkEnd w:id="4"/>
      <w:r w:rsidRPr="00AA42CD">
        <w:rPr>
          <w:rFonts w:ascii="Arial" w:hAnsi="Arial" w:cs="Arial"/>
          <w:b/>
          <w:szCs w:val="20"/>
        </w:rPr>
        <w:t>8</w:t>
      </w:r>
      <w:r w:rsidRPr="00AA42CD">
        <w:rPr>
          <w:rFonts w:ascii="Arial" w:hAnsi="Arial" w:cs="Arial"/>
          <w:szCs w:val="20"/>
        </w:rPr>
        <w:t xml:space="preserve">. </w:t>
      </w:r>
      <w:r w:rsidR="00D42749" w:rsidRPr="00D42749">
        <w:rPr>
          <w:rFonts w:ascii="Arial" w:hAnsi="Arial" w:cs="Arial"/>
          <w:szCs w:val="20"/>
        </w:rPr>
        <w:t>Identification of key influential genes with therapeutic potentials. The enriched compound classes agreeing or opposing the C</w:t>
      </w:r>
      <w:r w:rsidR="00D42749">
        <w:rPr>
          <w:rFonts w:ascii="Arial" w:hAnsi="Arial" w:cs="Arial"/>
          <w:szCs w:val="20"/>
        </w:rPr>
        <w:t xml:space="preserve">2 </w:t>
      </w:r>
      <w:r w:rsidR="00D42749" w:rsidRPr="00D42749">
        <w:rPr>
          <w:rFonts w:ascii="Arial" w:hAnsi="Arial" w:cs="Arial"/>
          <w:szCs w:val="20"/>
        </w:rPr>
        <w:t>(</w:t>
      </w:r>
      <w:r w:rsidR="00D42749">
        <w:rPr>
          <w:rFonts w:ascii="Arial" w:hAnsi="Arial" w:cs="Arial"/>
          <w:szCs w:val="20"/>
        </w:rPr>
        <w:t>upper panel</w:t>
      </w:r>
      <w:r w:rsidR="00D42749" w:rsidRPr="00D42749">
        <w:rPr>
          <w:rFonts w:ascii="Arial" w:hAnsi="Arial" w:cs="Arial"/>
          <w:szCs w:val="20"/>
        </w:rPr>
        <w:t>)</w:t>
      </w:r>
      <w:r w:rsidR="00D42749">
        <w:rPr>
          <w:rFonts w:ascii="Arial" w:hAnsi="Arial" w:cs="Arial"/>
          <w:szCs w:val="20"/>
        </w:rPr>
        <w:t xml:space="preserve"> and C3 (lower panel)</w:t>
      </w:r>
      <w:r w:rsidR="00D42749" w:rsidRPr="00D42749">
        <w:rPr>
          <w:rFonts w:ascii="Arial" w:hAnsi="Arial" w:cs="Arial"/>
          <w:szCs w:val="20"/>
        </w:rPr>
        <w:t xml:space="preserve"> gene expression signatures and their enrichment score. A negative normalized enrichment score indicates that a compound could counteract a given gene expression profiles.</w:t>
      </w:r>
    </w:p>
    <w:p w14:paraId="1EBD280D" w14:textId="59B65011" w:rsidR="00963D62" w:rsidRDefault="00963D62" w:rsidP="00CA5284">
      <w:pPr>
        <w:wordWrap/>
        <w:spacing w:after="0" w:line="360" w:lineRule="auto"/>
        <w:jc w:val="left"/>
        <w:rPr>
          <w:rFonts w:ascii="Arial" w:hAnsi="Arial" w:cs="Arial"/>
          <w:szCs w:val="20"/>
        </w:rPr>
      </w:pPr>
    </w:p>
    <w:p w14:paraId="422A71BE" w14:textId="77777777" w:rsidR="00963D62" w:rsidRPr="00AA42CD" w:rsidRDefault="00963D62" w:rsidP="00CA5284">
      <w:pPr>
        <w:wordWrap/>
        <w:spacing w:after="0" w:line="360" w:lineRule="auto"/>
        <w:jc w:val="left"/>
        <w:rPr>
          <w:rFonts w:ascii="Arial" w:hAnsi="Arial" w:cs="Arial"/>
          <w:szCs w:val="20"/>
        </w:rPr>
      </w:pPr>
    </w:p>
    <w:sectPr w:rsidR="00963D62" w:rsidRPr="00AA42CD" w:rsidSect="00EC68E7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E41FA9" w14:textId="77777777" w:rsidR="00253AAA" w:rsidRDefault="00253AAA" w:rsidP="00B96853">
      <w:pPr>
        <w:spacing w:after="0" w:line="240" w:lineRule="auto"/>
      </w:pPr>
      <w:r>
        <w:separator/>
      </w:r>
    </w:p>
  </w:endnote>
  <w:endnote w:type="continuationSeparator" w:id="0">
    <w:p w14:paraId="49B5CA13" w14:textId="77777777" w:rsidR="00253AAA" w:rsidRDefault="00253AAA" w:rsidP="00B968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1653442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B02B7E2" w14:textId="7E5002AA" w:rsidR="008A209D" w:rsidRDefault="008A209D">
        <w:pPr>
          <w:pStyle w:val="Footer"/>
          <w:jc w:val="center"/>
        </w:pPr>
        <w:r w:rsidRPr="008A209D">
          <w:rPr>
            <w:rFonts w:ascii="Times New Roman" w:hAnsi="Times New Roman" w:cs="Times New Roman"/>
          </w:rPr>
          <w:fldChar w:fldCharType="begin"/>
        </w:r>
        <w:r w:rsidRPr="008A209D">
          <w:rPr>
            <w:rFonts w:ascii="Times New Roman" w:hAnsi="Times New Roman" w:cs="Times New Roman"/>
          </w:rPr>
          <w:instrText xml:space="preserve"> PAGE   \* MERGEFORMAT </w:instrText>
        </w:r>
        <w:r w:rsidRPr="008A209D">
          <w:rPr>
            <w:rFonts w:ascii="Times New Roman" w:hAnsi="Times New Roman" w:cs="Times New Roman"/>
          </w:rPr>
          <w:fldChar w:fldCharType="separate"/>
        </w:r>
        <w:r w:rsidRPr="008A209D">
          <w:rPr>
            <w:rFonts w:ascii="Times New Roman" w:hAnsi="Times New Roman" w:cs="Times New Roman"/>
            <w:noProof/>
          </w:rPr>
          <w:t>2</w:t>
        </w:r>
        <w:r w:rsidRPr="008A209D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53F48D87" w14:textId="77777777" w:rsidR="008A209D" w:rsidRDefault="008A209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D77275" w14:textId="77777777" w:rsidR="00253AAA" w:rsidRDefault="00253AAA" w:rsidP="00B96853">
      <w:pPr>
        <w:spacing w:after="0" w:line="240" w:lineRule="auto"/>
      </w:pPr>
      <w:r>
        <w:separator/>
      </w:r>
    </w:p>
  </w:footnote>
  <w:footnote w:type="continuationSeparator" w:id="0">
    <w:p w14:paraId="6A7B03B7" w14:textId="77777777" w:rsidR="00253AAA" w:rsidRDefault="00253AAA" w:rsidP="00B9685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Clinical Immunology&lt;/Style&gt;&lt;LeftDelim&gt;{&lt;/LeftDelim&gt;&lt;RightDelim&gt;}&lt;/RightDelim&gt;&lt;FontName&gt;맑은 고딕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</w:docVars>
  <w:rsids>
    <w:rsidRoot w:val="006B66A9"/>
    <w:rsid w:val="000067CD"/>
    <w:rsid w:val="000162EE"/>
    <w:rsid w:val="00020119"/>
    <w:rsid w:val="00051B7D"/>
    <w:rsid w:val="000558F3"/>
    <w:rsid w:val="000672F2"/>
    <w:rsid w:val="00070D97"/>
    <w:rsid w:val="0007490B"/>
    <w:rsid w:val="00084DD7"/>
    <w:rsid w:val="000A2FB9"/>
    <w:rsid w:val="000D7833"/>
    <w:rsid w:val="000E109E"/>
    <w:rsid w:val="000E4238"/>
    <w:rsid w:val="00130D49"/>
    <w:rsid w:val="00131CF3"/>
    <w:rsid w:val="00145EB9"/>
    <w:rsid w:val="001505FB"/>
    <w:rsid w:val="00151B74"/>
    <w:rsid w:val="0019236D"/>
    <w:rsid w:val="001972CF"/>
    <w:rsid w:val="001B7FEA"/>
    <w:rsid w:val="001C0CAA"/>
    <w:rsid w:val="001C4574"/>
    <w:rsid w:val="00204E53"/>
    <w:rsid w:val="00232AB0"/>
    <w:rsid w:val="00234E0A"/>
    <w:rsid w:val="00247AE0"/>
    <w:rsid w:val="00253AAA"/>
    <w:rsid w:val="002A4925"/>
    <w:rsid w:val="002B3F30"/>
    <w:rsid w:val="002B501A"/>
    <w:rsid w:val="002B60DE"/>
    <w:rsid w:val="002C7D55"/>
    <w:rsid w:val="002D0BCF"/>
    <w:rsid w:val="002D0C0E"/>
    <w:rsid w:val="0031317B"/>
    <w:rsid w:val="00320174"/>
    <w:rsid w:val="003259CE"/>
    <w:rsid w:val="00337176"/>
    <w:rsid w:val="00347C4B"/>
    <w:rsid w:val="00356D70"/>
    <w:rsid w:val="00365005"/>
    <w:rsid w:val="00381EAB"/>
    <w:rsid w:val="003929AE"/>
    <w:rsid w:val="003953D0"/>
    <w:rsid w:val="003D5E27"/>
    <w:rsid w:val="003D61A2"/>
    <w:rsid w:val="003E4C58"/>
    <w:rsid w:val="003F0851"/>
    <w:rsid w:val="004001DC"/>
    <w:rsid w:val="00407587"/>
    <w:rsid w:val="00407BA8"/>
    <w:rsid w:val="004446F8"/>
    <w:rsid w:val="00453741"/>
    <w:rsid w:val="004B62CE"/>
    <w:rsid w:val="004B7E94"/>
    <w:rsid w:val="004C3E28"/>
    <w:rsid w:val="004C67C3"/>
    <w:rsid w:val="004D59D5"/>
    <w:rsid w:val="0052617D"/>
    <w:rsid w:val="0052627B"/>
    <w:rsid w:val="005263A8"/>
    <w:rsid w:val="00537536"/>
    <w:rsid w:val="00537E8B"/>
    <w:rsid w:val="005417E9"/>
    <w:rsid w:val="0055756A"/>
    <w:rsid w:val="0055781F"/>
    <w:rsid w:val="0057473C"/>
    <w:rsid w:val="00583B0D"/>
    <w:rsid w:val="005846A7"/>
    <w:rsid w:val="00592DE2"/>
    <w:rsid w:val="005947D9"/>
    <w:rsid w:val="005A561C"/>
    <w:rsid w:val="005D3AF0"/>
    <w:rsid w:val="005D421E"/>
    <w:rsid w:val="005E1B63"/>
    <w:rsid w:val="005F2F51"/>
    <w:rsid w:val="005F4CA6"/>
    <w:rsid w:val="0060527B"/>
    <w:rsid w:val="006116FA"/>
    <w:rsid w:val="00634FEF"/>
    <w:rsid w:val="0065098A"/>
    <w:rsid w:val="00672943"/>
    <w:rsid w:val="006751F9"/>
    <w:rsid w:val="006866D8"/>
    <w:rsid w:val="00693826"/>
    <w:rsid w:val="006A49E0"/>
    <w:rsid w:val="006A60B1"/>
    <w:rsid w:val="006B17E5"/>
    <w:rsid w:val="006B4C0A"/>
    <w:rsid w:val="006B66A9"/>
    <w:rsid w:val="006C4780"/>
    <w:rsid w:val="006F043B"/>
    <w:rsid w:val="007106DC"/>
    <w:rsid w:val="00711DA9"/>
    <w:rsid w:val="00717AA9"/>
    <w:rsid w:val="0073259F"/>
    <w:rsid w:val="0075396D"/>
    <w:rsid w:val="00780E94"/>
    <w:rsid w:val="007856EA"/>
    <w:rsid w:val="007A0DDC"/>
    <w:rsid w:val="007A3232"/>
    <w:rsid w:val="007B6F59"/>
    <w:rsid w:val="007C4B92"/>
    <w:rsid w:val="007D57BD"/>
    <w:rsid w:val="007D7D85"/>
    <w:rsid w:val="007E6C91"/>
    <w:rsid w:val="007F637A"/>
    <w:rsid w:val="00823C23"/>
    <w:rsid w:val="008359F9"/>
    <w:rsid w:val="00847DD8"/>
    <w:rsid w:val="00853811"/>
    <w:rsid w:val="00854DCA"/>
    <w:rsid w:val="00856A1E"/>
    <w:rsid w:val="008602A3"/>
    <w:rsid w:val="0086147C"/>
    <w:rsid w:val="00865B4D"/>
    <w:rsid w:val="00873D5A"/>
    <w:rsid w:val="00877E44"/>
    <w:rsid w:val="00885956"/>
    <w:rsid w:val="00890080"/>
    <w:rsid w:val="0089386A"/>
    <w:rsid w:val="008A209D"/>
    <w:rsid w:val="008A64ED"/>
    <w:rsid w:val="008C11B2"/>
    <w:rsid w:val="008D53B3"/>
    <w:rsid w:val="008D5FDF"/>
    <w:rsid w:val="00901B02"/>
    <w:rsid w:val="0090440D"/>
    <w:rsid w:val="0094215A"/>
    <w:rsid w:val="00950FF9"/>
    <w:rsid w:val="00961A7A"/>
    <w:rsid w:val="00961ACA"/>
    <w:rsid w:val="00963D62"/>
    <w:rsid w:val="00967F25"/>
    <w:rsid w:val="0097202E"/>
    <w:rsid w:val="00980AE7"/>
    <w:rsid w:val="0099023D"/>
    <w:rsid w:val="009C7419"/>
    <w:rsid w:val="009E2FD4"/>
    <w:rsid w:val="009E33A8"/>
    <w:rsid w:val="00A45406"/>
    <w:rsid w:val="00A475FE"/>
    <w:rsid w:val="00A637A9"/>
    <w:rsid w:val="00A65934"/>
    <w:rsid w:val="00A71FC7"/>
    <w:rsid w:val="00A8749A"/>
    <w:rsid w:val="00A91187"/>
    <w:rsid w:val="00A952DE"/>
    <w:rsid w:val="00AA3B06"/>
    <w:rsid w:val="00AA42CD"/>
    <w:rsid w:val="00AC5901"/>
    <w:rsid w:val="00B13F45"/>
    <w:rsid w:val="00B21E22"/>
    <w:rsid w:val="00B27B81"/>
    <w:rsid w:val="00B319B5"/>
    <w:rsid w:val="00B41576"/>
    <w:rsid w:val="00B44B68"/>
    <w:rsid w:val="00B50F25"/>
    <w:rsid w:val="00B54AB2"/>
    <w:rsid w:val="00B77B8A"/>
    <w:rsid w:val="00B872F4"/>
    <w:rsid w:val="00B96853"/>
    <w:rsid w:val="00BB4CF5"/>
    <w:rsid w:val="00BC38D5"/>
    <w:rsid w:val="00BD5284"/>
    <w:rsid w:val="00BF1A51"/>
    <w:rsid w:val="00C109E3"/>
    <w:rsid w:val="00C13108"/>
    <w:rsid w:val="00C16ED5"/>
    <w:rsid w:val="00C4340F"/>
    <w:rsid w:val="00C43AD6"/>
    <w:rsid w:val="00C56491"/>
    <w:rsid w:val="00C66162"/>
    <w:rsid w:val="00C90B51"/>
    <w:rsid w:val="00C91FEF"/>
    <w:rsid w:val="00C9490C"/>
    <w:rsid w:val="00C954AD"/>
    <w:rsid w:val="00CA5284"/>
    <w:rsid w:val="00CC0549"/>
    <w:rsid w:val="00CE5A4A"/>
    <w:rsid w:val="00CF69BD"/>
    <w:rsid w:val="00D17984"/>
    <w:rsid w:val="00D42749"/>
    <w:rsid w:val="00D55632"/>
    <w:rsid w:val="00D9587B"/>
    <w:rsid w:val="00DA43C3"/>
    <w:rsid w:val="00DC2DBC"/>
    <w:rsid w:val="00DE2DA1"/>
    <w:rsid w:val="00E02D8F"/>
    <w:rsid w:val="00E03F75"/>
    <w:rsid w:val="00E100A2"/>
    <w:rsid w:val="00E34588"/>
    <w:rsid w:val="00E421D5"/>
    <w:rsid w:val="00E502CD"/>
    <w:rsid w:val="00E50FC7"/>
    <w:rsid w:val="00E54813"/>
    <w:rsid w:val="00E6419A"/>
    <w:rsid w:val="00E675B1"/>
    <w:rsid w:val="00E936E8"/>
    <w:rsid w:val="00E959DA"/>
    <w:rsid w:val="00E97CBA"/>
    <w:rsid w:val="00EB2433"/>
    <w:rsid w:val="00EB4D92"/>
    <w:rsid w:val="00EC2CF5"/>
    <w:rsid w:val="00EC3638"/>
    <w:rsid w:val="00EC5151"/>
    <w:rsid w:val="00EC68E7"/>
    <w:rsid w:val="00EF7201"/>
    <w:rsid w:val="00F130C1"/>
    <w:rsid w:val="00F152D7"/>
    <w:rsid w:val="00F37BD4"/>
    <w:rsid w:val="00F45892"/>
    <w:rsid w:val="00F70844"/>
    <w:rsid w:val="00F8278E"/>
    <w:rsid w:val="00F84B82"/>
    <w:rsid w:val="00FB1C1E"/>
    <w:rsid w:val="00FC4672"/>
    <w:rsid w:val="00FC62DF"/>
    <w:rsid w:val="00FD7621"/>
    <w:rsid w:val="00FF3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0FB5AB2"/>
  <w15:chartTrackingRefBased/>
  <w15:docId w15:val="{D3B24FAA-3D57-4EF4-AB15-EBBBC7F71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D5E27"/>
    <w:pPr>
      <w:widowControl w:val="0"/>
      <w:wordWrap w:val="0"/>
      <w:autoSpaceDE w:val="0"/>
      <w:autoSpaceDN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96853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B96853"/>
  </w:style>
  <w:style w:type="paragraph" w:styleId="Footer">
    <w:name w:val="footer"/>
    <w:basedOn w:val="Normal"/>
    <w:link w:val="FooterChar"/>
    <w:uiPriority w:val="99"/>
    <w:unhideWhenUsed/>
    <w:rsid w:val="00B96853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B96853"/>
  </w:style>
  <w:style w:type="character" w:styleId="Hyperlink">
    <w:name w:val="Hyperlink"/>
    <w:basedOn w:val="DefaultParagraphFont"/>
    <w:uiPriority w:val="99"/>
    <w:unhideWhenUsed/>
    <w:rsid w:val="0052627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62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7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6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2476</TotalTime>
  <Pages>9</Pages>
  <Words>381</Words>
  <Characters>2176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Ki-Jo</dc:creator>
  <cp:keywords/>
  <dc:description/>
  <cp:lastModifiedBy>rheupion</cp:lastModifiedBy>
  <cp:revision>99</cp:revision>
  <cp:lastPrinted>2024-02-10T23:46:00Z</cp:lastPrinted>
  <dcterms:created xsi:type="dcterms:W3CDTF">2020-12-22T08:56:00Z</dcterms:created>
  <dcterms:modified xsi:type="dcterms:W3CDTF">2024-08-02T21:13:00Z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Fasoo_Trace_ID" pid="5">
    <vt:lpwstr>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</vt:lpwstr>
  </property>
  <property fmtid="{D5CDD505-2E9C-101B-9397-08002B2CF9AE}" name="FDRClass" pid="6">
    <vt:lpwstr>0</vt:lpwstr>
  </property>
  <property fmtid="{D5CDD505-2E9C-101B-9397-08002B2CF9AE}" name="FDRSet" pid="7">
    <vt:lpwstr>manual</vt:lpwstr>
  </property>
</Properties>
</file>