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6E844" w14:textId="1BA006FC" w:rsidR="00110BA5" w:rsidRDefault="006C2770" w:rsidP="006C2770">
      <w:pPr>
        <w:spacing w:after="12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6538A1E0" wp14:editId="00AE7D29">
            <wp:extent cx="3960000" cy="1025998"/>
            <wp:effectExtent l="0" t="0" r="2540" b="3175"/>
            <wp:docPr id="11692741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74172" name="图片 11692741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02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6F1DE" w14:textId="50EEB230" w:rsidR="00CC5FD5" w:rsidRPr="00CC5FD5" w:rsidRDefault="00CC5FD5" w:rsidP="00096A17">
      <w:pPr>
        <w:spacing w:after="120" w:line="480" w:lineRule="auto"/>
        <w:rPr>
          <w:rFonts w:ascii="Arial" w:eastAsia="GillSansMTPro-Medium" w:hAnsi="Arial" w:cs="Arial"/>
          <w:b/>
          <w:kern w:val="0"/>
          <w:sz w:val="24"/>
          <w:szCs w:val="24"/>
        </w:rPr>
      </w:pPr>
      <w:r w:rsidRPr="00CC5FD5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 w:rsidRPr="00CC5FD5">
        <w:rPr>
          <w:rFonts w:ascii="Arial" w:hAnsi="Arial" w:cs="Arial" w:hint="eastAsia"/>
          <w:b/>
          <w:bCs/>
          <w:sz w:val="24"/>
          <w:szCs w:val="24"/>
        </w:rPr>
        <w:t>1</w:t>
      </w:r>
      <w:r w:rsidRPr="00CC5FD5">
        <w:rPr>
          <w:rFonts w:ascii="Arial" w:hAnsi="Arial" w:cs="Arial"/>
          <w:b/>
          <w:bCs/>
          <w:sz w:val="24"/>
          <w:szCs w:val="24"/>
        </w:rPr>
        <w:t xml:space="preserve">. The </w:t>
      </w:r>
      <w:r w:rsidR="004B38EA">
        <w:rPr>
          <w:rFonts w:ascii="Arial" w:hAnsi="Arial" w:cs="Arial" w:hint="eastAsia"/>
          <w:b/>
          <w:bCs/>
          <w:sz w:val="24"/>
          <w:szCs w:val="24"/>
        </w:rPr>
        <w:t xml:space="preserve">knockout </w:t>
      </w:r>
      <w:r w:rsidRPr="00CC5FD5">
        <w:rPr>
          <w:rFonts w:ascii="Arial" w:hAnsi="Arial" w:cs="Arial"/>
          <w:b/>
          <w:bCs/>
          <w:sz w:val="24"/>
          <w:szCs w:val="24"/>
        </w:rPr>
        <w:t>effic</w:t>
      </w:r>
      <w:r w:rsidR="00012698">
        <w:rPr>
          <w:rFonts w:ascii="Arial" w:hAnsi="Arial" w:cs="Arial" w:hint="eastAsia"/>
          <w:b/>
          <w:bCs/>
          <w:sz w:val="24"/>
          <w:szCs w:val="24"/>
        </w:rPr>
        <w:t>a</w:t>
      </w:r>
      <w:r w:rsidRPr="00CC5FD5">
        <w:rPr>
          <w:rFonts w:ascii="Arial" w:hAnsi="Arial" w:cs="Arial"/>
          <w:b/>
          <w:bCs/>
          <w:sz w:val="24"/>
          <w:szCs w:val="24"/>
        </w:rPr>
        <w:t xml:space="preserve">cy of shAkt2 </w:t>
      </w:r>
      <w:r w:rsidR="00012698">
        <w:rPr>
          <w:rFonts w:ascii="Arial" w:hAnsi="Arial" w:cs="Arial" w:hint="eastAsia"/>
          <w:b/>
          <w:bCs/>
          <w:sz w:val="24"/>
          <w:szCs w:val="24"/>
        </w:rPr>
        <w:t>assess</w:t>
      </w:r>
      <w:r w:rsidRPr="00CC5FD5">
        <w:rPr>
          <w:rFonts w:ascii="Arial" w:hAnsi="Arial" w:cs="Arial"/>
          <w:b/>
          <w:bCs/>
          <w:sz w:val="24"/>
          <w:szCs w:val="24"/>
        </w:rPr>
        <w:t xml:space="preserve">ed </w:t>
      </w:r>
      <w:r w:rsidRPr="00012698">
        <w:rPr>
          <w:rFonts w:ascii="Arial" w:hAnsi="Arial" w:cs="Arial"/>
          <w:b/>
          <w:bCs/>
          <w:sz w:val="24"/>
          <w:szCs w:val="24"/>
        </w:rPr>
        <w:t>via</w:t>
      </w:r>
      <w:r w:rsidRPr="00CC5FD5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CC5FD5">
        <w:rPr>
          <w:rFonts w:ascii="Arial" w:hAnsi="Arial" w:cs="Arial"/>
          <w:b/>
          <w:sz w:val="24"/>
          <w:szCs w:val="24"/>
        </w:rPr>
        <w:t>Western blot</w:t>
      </w:r>
      <w:r w:rsidRPr="00CC5FD5">
        <w:rPr>
          <w:rFonts w:ascii="Arial" w:eastAsia="GillSansMTPro-Medium" w:hAnsi="Arial" w:cs="Arial"/>
          <w:b/>
          <w:kern w:val="0"/>
          <w:sz w:val="24"/>
          <w:szCs w:val="24"/>
        </w:rPr>
        <w:t>.</w:t>
      </w:r>
    </w:p>
    <w:p w14:paraId="7BF99ED2" w14:textId="2C31185D" w:rsidR="00CC5FD5" w:rsidRPr="00CC5FD5" w:rsidRDefault="00CC5FD5" w:rsidP="00096A17">
      <w:pPr>
        <w:autoSpaceDE w:val="0"/>
        <w:autoSpaceDN w:val="0"/>
        <w:adjustRightInd w:val="0"/>
        <w:spacing w:after="120" w:line="480" w:lineRule="auto"/>
        <w:rPr>
          <w:rFonts w:ascii="Arial" w:eastAsia="GillSansMTPro-Medium" w:hAnsi="Arial" w:cs="Arial"/>
          <w:kern w:val="0"/>
          <w:sz w:val="24"/>
          <w:szCs w:val="24"/>
        </w:rPr>
      </w:pPr>
      <w:r w:rsidRPr="00CC5FD5">
        <w:rPr>
          <w:rFonts w:ascii="Arial" w:hAnsi="Arial" w:cs="Arial"/>
          <w:sz w:val="24"/>
          <w:szCs w:val="24"/>
        </w:rPr>
        <w:t xml:space="preserve">(A) Representative </w:t>
      </w:r>
      <w:r w:rsidRPr="00CC5FD5">
        <w:rPr>
          <w:rFonts w:ascii="Arial" w:eastAsia="华文仿宋" w:hAnsi="Arial" w:cs="Arial"/>
          <w:sz w:val="24"/>
          <w:szCs w:val="24"/>
        </w:rPr>
        <w:t xml:space="preserve">Western blot bands showing the expression of </w:t>
      </w:r>
      <w:r>
        <w:rPr>
          <w:rFonts w:ascii="Arial" w:eastAsia="华文仿宋" w:hAnsi="Arial" w:cs="Arial" w:hint="eastAsia"/>
          <w:sz w:val="24"/>
          <w:szCs w:val="24"/>
        </w:rPr>
        <w:t xml:space="preserve">Akt2 </w:t>
      </w:r>
      <w:r w:rsidRPr="00F35803">
        <w:rPr>
          <w:rFonts w:ascii="Arial" w:hAnsi="Arial" w:cs="Arial"/>
          <w:sz w:val="24"/>
          <w:szCs w:val="32"/>
        </w:rPr>
        <w:t xml:space="preserve">and </w:t>
      </w:r>
      <w:r w:rsidRPr="00F35803">
        <w:rPr>
          <w:rFonts w:ascii="Arial" w:eastAsia="AdvOT596495f2+03" w:hAnsi="Arial" w:cs="Arial"/>
          <w:kern w:val="0"/>
          <w:sz w:val="24"/>
          <w:szCs w:val="32"/>
        </w:rPr>
        <w:t>β-actin</w:t>
      </w:r>
      <w:r w:rsidRPr="00CC5FD5">
        <w:rPr>
          <w:rFonts w:ascii="Arial" w:eastAsia="GillSansMTPro-Medium" w:hAnsi="Arial" w:cs="Arial"/>
          <w:kern w:val="0"/>
          <w:sz w:val="24"/>
          <w:szCs w:val="24"/>
        </w:rPr>
        <w:t xml:space="preserve"> in </w:t>
      </w:r>
      <w:r w:rsidRPr="00984507">
        <w:rPr>
          <w:rFonts w:ascii="Arial" w:hAnsi="Arial" w:cs="Arial"/>
          <w:sz w:val="24"/>
          <w:szCs w:val="24"/>
        </w:rPr>
        <w:t>subchondral bone of the condyl</w:t>
      </w:r>
      <w:r>
        <w:rPr>
          <w:rFonts w:ascii="Arial" w:hAnsi="Arial" w:cs="Arial" w:hint="eastAsia"/>
          <w:sz w:val="24"/>
          <w:szCs w:val="24"/>
        </w:rPr>
        <w:t>e</w:t>
      </w:r>
      <w:r w:rsidRPr="00984507">
        <w:rPr>
          <w:rFonts w:ascii="Arial" w:hAnsi="Arial" w:cs="Arial"/>
          <w:sz w:val="24"/>
          <w:szCs w:val="24"/>
        </w:rPr>
        <w:t>s</w:t>
      </w:r>
      <w:r w:rsidRPr="00984507">
        <w:rPr>
          <w:rFonts w:ascii="Arial" w:eastAsia="华文仿宋" w:hAnsi="Arial" w:cs="Arial"/>
          <w:sz w:val="24"/>
          <w:szCs w:val="24"/>
        </w:rPr>
        <w:t xml:space="preserve"> </w:t>
      </w:r>
      <w:r w:rsidRPr="00984507">
        <w:rPr>
          <w:rFonts w:ascii="Arial" w:hAnsi="Arial" w:cs="Arial"/>
          <w:sz w:val="24"/>
          <w:szCs w:val="24"/>
        </w:rPr>
        <w:t xml:space="preserve">in the </w:t>
      </w:r>
      <w:proofErr w:type="spellStart"/>
      <w:r w:rsidRPr="00984507">
        <w:rPr>
          <w:rFonts w:ascii="Arial" w:hAnsi="Arial" w:cs="Arial"/>
          <w:sz w:val="24"/>
          <w:szCs w:val="24"/>
        </w:rPr>
        <w:t>shCtrl</w:t>
      </w:r>
      <w:proofErr w:type="spellEnd"/>
      <w:r w:rsidRPr="00984507">
        <w:rPr>
          <w:rFonts w:ascii="Arial" w:hAnsi="Arial" w:cs="Arial"/>
          <w:sz w:val="24"/>
          <w:szCs w:val="24"/>
        </w:rPr>
        <w:t xml:space="preserve">- or shAkt2-treated </w:t>
      </w:r>
      <w:r w:rsidRPr="00CC5FD5">
        <w:rPr>
          <w:rFonts w:ascii="Arial" w:eastAsia="GillSansMTPro-Medium" w:hAnsi="Arial" w:cs="Arial"/>
          <w:kern w:val="0"/>
          <w:sz w:val="24"/>
          <w:szCs w:val="24"/>
        </w:rPr>
        <w:t xml:space="preserve">groups. </w:t>
      </w:r>
      <w:r w:rsidRPr="00CC5FD5">
        <w:rPr>
          <w:rFonts w:ascii="Arial" w:hAnsi="Arial" w:cs="Arial"/>
          <w:kern w:val="0"/>
          <w:sz w:val="24"/>
          <w:szCs w:val="24"/>
        </w:rPr>
        <w:t>n = 3 per group.</w:t>
      </w:r>
    </w:p>
    <w:p w14:paraId="324EE1F0" w14:textId="30533430" w:rsidR="00AE5928" w:rsidRDefault="00CC5FD5" w:rsidP="00096A17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kern w:val="0"/>
          <w:sz w:val="24"/>
          <w:szCs w:val="24"/>
        </w:rPr>
      </w:pPr>
      <w:r w:rsidRPr="00CC5FD5">
        <w:rPr>
          <w:rFonts w:ascii="Arial" w:hAnsi="Arial" w:cs="Arial"/>
          <w:kern w:val="0"/>
          <w:sz w:val="24"/>
          <w:szCs w:val="24"/>
        </w:rPr>
        <w:t>(</w:t>
      </w:r>
      <w:r w:rsidRPr="00CC5FD5">
        <w:rPr>
          <w:rFonts w:ascii="Arial" w:hAnsi="Arial" w:cs="Arial" w:hint="eastAsia"/>
          <w:kern w:val="0"/>
          <w:sz w:val="24"/>
          <w:szCs w:val="24"/>
        </w:rPr>
        <w:t>B</w:t>
      </w:r>
      <w:r w:rsidRPr="00CC5FD5">
        <w:rPr>
          <w:rFonts w:ascii="Arial" w:hAnsi="Arial" w:cs="Arial"/>
          <w:kern w:val="0"/>
          <w:sz w:val="24"/>
          <w:szCs w:val="24"/>
        </w:rPr>
        <w:t xml:space="preserve">) Quantitative analysis of the relative intensity of </w:t>
      </w:r>
      <w:r w:rsidRPr="00CC5FD5">
        <w:rPr>
          <w:rFonts w:ascii="Arial" w:hAnsi="Arial" w:cs="Arial" w:hint="eastAsia"/>
          <w:kern w:val="0"/>
          <w:sz w:val="24"/>
          <w:szCs w:val="24"/>
        </w:rPr>
        <w:t>Akt2</w:t>
      </w:r>
      <w:r w:rsidRPr="00CC5FD5">
        <w:rPr>
          <w:rFonts w:ascii="Arial" w:hAnsi="Arial" w:cs="Arial"/>
          <w:kern w:val="0"/>
          <w:sz w:val="24"/>
          <w:szCs w:val="24"/>
        </w:rPr>
        <w:t xml:space="preserve">. All levels were normalized to β-actin. </w:t>
      </w:r>
      <w:r w:rsidR="00012698">
        <w:rPr>
          <w:rFonts w:ascii="Arial" w:hAnsi="Arial" w:cs="Arial" w:hint="eastAsia"/>
          <w:kern w:val="0"/>
          <w:sz w:val="24"/>
          <w:szCs w:val="24"/>
        </w:rPr>
        <w:t>The d</w:t>
      </w:r>
      <w:r w:rsidRPr="00CC5FD5">
        <w:rPr>
          <w:rFonts w:ascii="Arial" w:hAnsi="Arial" w:cs="Arial"/>
          <w:kern w:val="0"/>
          <w:sz w:val="24"/>
          <w:szCs w:val="24"/>
        </w:rPr>
        <w:t>ata were presented as mean and SEM. Statistical analysis</w:t>
      </w:r>
      <w:r w:rsidRPr="00CC5FD5">
        <w:rPr>
          <w:rFonts w:ascii="Arial" w:eastAsia="华文仿宋" w:hAnsi="Arial" w:cs="Arial"/>
          <w:sz w:val="24"/>
          <w:szCs w:val="24"/>
        </w:rPr>
        <w:t xml:space="preserve"> was determined by one-way ANOVA with Bonferroni’s multiple comparison test</w:t>
      </w:r>
      <w:r w:rsidRPr="00CC5FD5">
        <w:rPr>
          <w:rFonts w:ascii="Arial" w:hAnsi="Arial" w:cs="Arial"/>
          <w:sz w:val="24"/>
          <w:szCs w:val="24"/>
        </w:rPr>
        <w:t>.</w:t>
      </w:r>
      <w:r w:rsidRPr="00CC5FD5">
        <w:rPr>
          <w:rFonts w:ascii="Arial" w:hAnsi="Arial" w:cs="Arial" w:hint="eastAsia"/>
          <w:sz w:val="24"/>
          <w:szCs w:val="24"/>
        </w:rPr>
        <w:t xml:space="preserve"> </w:t>
      </w:r>
      <w:r w:rsidRPr="00CC5FD5">
        <w:rPr>
          <w:rFonts w:ascii="Arial" w:hAnsi="Arial" w:cs="Arial"/>
          <w:kern w:val="0"/>
          <w:sz w:val="24"/>
          <w:szCs w:val="24"/>
        </w:rPr>
        <w:t xml:space="preserve">* </w:t>
      </w:r>
      <w:r w:rsidRPr="00CC5FD5">
        <w:rPr>
          <w:rFonts w:ascii="Arial" w:hAnsi="Arial" w:cs="Arial"/>
          <w:i/>
          <w:iCs/>
          <w:kern w:val="0"/>
          <w:sz w:val="24"/>
          <w:szCs w:val="24"/>
        </w:rPr>
        <w:t>P</w:t>
      </w:r>
      <w:r w:rsidRPr="00CC5FD5">
        <w:rPr>
          <w:rFonts w:ascii="Arial" w:hAnsi="Arial" w:cs="Arial"/>
          <w:kern w:val="0"/>
          <w:sz w:val="24"/>
          <w:szCs w:val="24"/>
        </w:rPr>
        <w:t xml:space="preserve"> &lt; 0.0</w:t>
      </w:r>
      <w:r>
        <w:rPr>
          <w:rFonts w:ascii="Arial" w:hAnsi="Arial" w:cs="Arial" w:hint="eastAsia"/>
          <w:kern w:val="0"/>
          <w:sz w:val="24"/>
          <w:szCs w:val="24"/>
        </w:rPr>
        <w:t>5</w:t>
      </w:r>
      <w:r w:rsidRPr="00CC5FD5">
        <w:rPr>
          <w:rFonts w:ascii="Arial" w:hAnsi="Arial" w:cs="Arial"/>
          <w:kern w:val="0"/>
          <w:sz w:val="24"/>
          <w:szCs w:val="24"/>
        </w:rPr>
        <w:t>.</w:t>
      </w:r>
      <w:r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CC5FD5">
        <w:rPr>
          <w:rFonts w:ascii="Arial" w:hAnsi="Arial" w:cs="Arial"/>
          <w:kern w:val="0"/>
          <w:sz w:val="24"/>
          <w:szCs w:val="24"/>
        </w:rPr>
        <w:t xml:space="preserve">** </w:t>
      </w:r>
      <w:r w:rsidRPr="00CC5FD5">
        <w:rPr>
          <w:rFonts w:ascii="Arial" w:hAnsi="Arial" w:cs="Arial"/>
          <w:i/>
          <w:iCs/>
          <w:kern w:val="0"/>
          <w:sz w:val="24"/>
          <w:szCs w:val="24"/>
        </w:rPr>
        <w:t>P</w:t>
      </w:r>
      <w:r w:rsidRPr="00CC5FD5">
        <w:rPr>
          <w:rFonts w:ascii="Arial" w:hAnsi="Arial" w:cs="Arial"/>
          <w:kern w:val="0"/>
          <w:sz w:val="24"/>
          <w:szCs w:val="24"/>
        </w:rPr>
        <w:t xml:space="preserve"> &lt; 0.01.</w:t>
      </w:r>
      <w:r w:rsidRPr="00CC5FD5">
        <w:rPr>
          <w:rFonts w:ascii="Arial" w:hAnsi="Arial" w:cs="Arial" w:hint="eastAsia"/>
          <w:kern w:val="0"/>
          <w:sz w:val="24"/>
          <w:szCs w:val="24"/>
        </w:rPr>
        <w:t xml:space="preserve"> </w:t>
      </w:r>
      <w:r w:rsidRPr="00CC5FD5">
        <w:rPr>
          <w:rFonts w:ascii="Arial" w:hAnsi="Arial" w:cs="Arial"/>
          <w:kern w:val="0"/>
          <w:sz w:val="24"/>
          <w:szCs w:val="24"/>
        </w:rPr>
        <w:t>n = 3 per group.</w:t>
      </w:r>
    </w:p>
    <w:p w14:paraId="6FF49436" w14:textId="77777777" w:rsidR="00AE5928" w:rsidRDefault="00AE5928">
      <w:pPr>
        <w:widowControl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br w:type="page"/>
      </w:r>
    </w:p>
    <w:p w14:paraId="03D9B803" w14:textId="593ABCE1" w:rsidR="00CC5FD5" w:rsidRDefault="00D422DF" w:rsidP="00096A17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noProof/>
          <w:kern w:val="0"/>
          <w:sz w:val="24"/>
          <w:szCs w:val="24"/>
          <w14:ligatures w14:val="standardContextual"/>
        </w:rPr>
        <w:lastRenderedPageBreak/>
        <w:drawing>
          <wp:inline distT="0" distB="0" distL="0" distR="0" wp14:anchorId="3D6CE0A7" wp14:editId="74226CE7">
            <wp:extent cx="5274310" cy="5307965"/>
            <wp:effectExtent l="0" t="0" r="2540" b="6985"/>
            <wp:docPr id="5573467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46769" name="图片 5573467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0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983A4" w14:textId="03DDB50C" w:rsidR="00AE5928" w:rsidRDefault="00AE5928" w:rsidP="00096A17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b/>
          <w:sz w:val="24"/>
          <w:szCs w:val="24"/>
        </w:rPr>
      </w:pPr>
      <w:r w:rsidRPr="00CC5FD5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>
        <w:rPr>
          <w:rFonts w:ascii="Arial" w:hAnsi="Arial" w:cs="Arial" w:hint="eastAsia"/>
          <w:b/>
          <w:bCs/>
          <w:sz w:val="24"/>
          <w:szCs w:val="24"/>
        </w:rPr>
        <w:t>2</w:t>
      </w:r>
      <w:r w:rsidRPr="00CC5FD5">
        <w:rPr>
          <w:rFonts w:ascii="Arial" w:hAnsi="Arial" w:cs="Arial"/>
          <w:b/>
          <w:bCs/>
          <w:sz w:val="24"/>
          <w:szCs w:val="24"/>
        </w:rPr>
        <w:t>.</w:t>
      </w:r>
      <w:r w:rsidRPr="00AE5928">
        <w:rPr>
          <w:rFonts w:ascii="Arial" w:hAnsi="Arial" w:cs="Arial"/>
          <w:b/>
          <w:sz w:val="24"/>
          <w:szCs w:val="24"/>
        </w:rPr>
        <w:t xml:space="preserve"> </w:t>
      </w:r>
      <w:bookmarkStart w:id="0" w:name="_Hlk177918545"/>
      <w:r w:rsidRPr="00AE5928">
        <w:rPr>
          <w:rFonts w:ascii="Arial" w:hAnsi="Arial" w:cs="Arial"/>
          <w:b/>
          <w:sz w:val="24"/>
          <w:szCs w:val="24"/>
        </w:rPr>
        <w:t xml:space="preserve">The </w:t>
      </w:r>
      <w:bookmarkStart w:id="1" w:name="_Hlk79406118"/>
      <w:r w:rsidRPr="00AE5928">
        <w:rPr>
          <w:rFonts w:ascii="Arial" w:hAnsi="Arial" w:cs="Arial"/>
          <w:b/>
          <w:sz w:val="24"/>
          <w:szCs w:val="24"/>
        </w:rPr>
        <w:t>transfection effic</w:t>
      </w:r>
      <w:r w:rsidR="00012698">
        <w:rPr>
          <w:rFonts w:ascii="Arial" w:hAnsi="Arial" w:cs="Arial" w:hint="eastAsia"/>
          <w:b/>
          <w:sz w:val="24"/>
          <w:szCs w:val="24"/>
        </w:rPr>
        <w:t>a</w:t>
      </w:r>
      <w:r w:rsidRPr="00AE5928">
        <w:rPr>
          <w:rFonts w:ascii="Arial" w:hAnsi="Arial" w:cs="Arial"/>
          <w:b/>
          <w:sz w:val="24"/>
          <w:szCs w:val="24"/>
        </w:rPr>
        <w:t xml:space="preserve">cy </w:t>
      </w:r>
      <w:bookmarkEnd w:id="1"/>
      <w:r w:rsidRPr="00AE5928">
        <w:rPr>
          <w:rFonts w:ascii="Arial" w:hAnsi="Arial" w:cs="Arial"/>
          <w:b/>
          <w:sz w:val="24"/>
          <w:szCs w:val="24"/>
        </w:rPr>
        <w:t xml:space="preserve">of shAkt2 </w:t>
      </w:r>
      <w:r w:rsidR="00012698">
        <w:rPr>
          <w:rFonts w:ascii="Arial" w:hAnsi="Arial" w:cs="Arial" w:hint="eastAsia"/>
          <w:b/>
          <w:sz w:val="24"/>
          <w:szCs w:val="24"/>
        </w:rPr>
        <w:t>assess</w:t>
      </w:r>
      <w:r w:rsidRPr="00AE5928">
        <w:rPr>
          <w:rFonts w:ascii="Arial" w:hAnsi="Arial" w:cs="Arial"/>
          <w:b/>
          <w:sz w:val="24"/>
          <w:szCs w:val="24"/>
        </w:rPr>
        <w:t xml:space="preserve">ed via </w:t>
      </w:r>
      <w:r w:rsidRPr="00AE5928">
        <w:rPr>
          <w:rFonts w:ascii="Arial" w:hAnsi="Arial" w:cs="Arial" w:hint="eastAsia"/>
          <w:b/>
          <w:sz w:val="24"/>
          <w:szCs w:val="24"/>
        </w:rPr>
        <w:t>immuno</w:t>
      </w:r>
      <w:r w:rsidRPr="00AE5928">
        <w:rPr>
          <w:rFonts w:ascii="Arial" w:hAnsi="Arial" w:cs="Arial"/>
          <w:b/>
          <w:sz w:val="24"/>
          <w:szCs w:val="24"/>
        </w:rPr>
        <w:t>fluorescence</w:t>
      </w:r>
      <w:r w:rsidRPr="00AE5928">
        <w:rPr>
          <w:rFonts w:ascii="Arial" w:hAnsi="Arial" w:cs="Arial" w:hint="eastAsia"/>
          <w:b/>
          <w:sz w:val="24"/>
          <w:szCs w:val="24"/>
        </w:rPr>
        <w:t xml:space="preserve"> staining</w:t>
      </w:r>
      <w:r>
        <w:rPr>
          <w:rFonts w:ascii="Arial" w:hAnsi="Arial" w:cs="Arial" w:hint="eastAsia"/>
          <w:b/>
          <w:sz w:val="24"/>
          <w:szCs w:val="24"/>
        </w:rPr>
        <w:t>.</w:t>
      </w:r>
    </w:p>
    <w:p w14:paraId="1029CD78" w14:textId="2BAD3918" w:rsidR="00335B8D" w:rsidRPr="00335B8D" w:rsidRDefault="008174E5" w:rsidP="00096A17">
      <w:pPr>
        <w:autoSpaceDE w:val="0"/>
        <w:autoSpaceDN w:val="0"/>
        <w:adjustRightInd w:val="0"/>
        <w:spacing w:after="120" w:line="480" w:lineRule="auto"/>
        <w:rPr>
          <w:rFonts w:ascii="Arial" w:eastAsia="AdvOT596495f2+03" w:hAnsi="Arial" w:cs="Arial"/>
          <w:kern w:val="0"/>
          <w:sz w:val="24"/>
          <w:szCs w:val="32"/>
        </w:rPr>
      </w:pP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(A) Representative images of immunofluorescence staining of EGFP and </w:t>
      </w:r>
      <w:r w:rsidRPr="00335B8D">
        <w:rPr>
          <w:rFonts w:ascii="Arial" w:eastAsia="AdvOT596495f2+03" w:hAnsi="Arial" w:cs="Arial"/>
          <w:i/>
          <w:iCs/>
          <w:kern w:val="0"/>
          <w:sz w:val="24"/>
          <w:szCs w:val="32"/>
        </w:rPr>
        <w:t>p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-Akt2 in condyles in </w:t>
      </w:r>
      <w:proofErr w:type="spellStart"/>
      <w:r w:rsidRPr="00335B8D">
        <w:rPr>
          <w:rFonts w:ascii="Arial" w:eastAsia="AdvOT596495f2+03" w:hAnsi="Arial" w:cs="Arial"/>
          <w:kern w:val="0"/>
          <w:sz w:val="24"/>
          <w:szCs w:val="32"/>
        </w:rPr>
        <w:t>shCtrl</w:t>
      </w:r>
      <w:proofErr w:type="spellEnd"/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- or shAkt2-treated rats. The white dotted line shows the demarcation between the articular cartilage and underlying subchondral bone. The white arrowheads indicate </w:t>
      </w:r>
      <w:r w:rsidRPr="00335B8D">
        <w:rPr>
          <w:rFonts w:ascii="Arial" w:eastAsia="AdvOT596495f2+03" w:hAnsi="Arial" w:cs="Arial"/>
          <w:i/>
          <w:iCs/>
          <w:kern w:val="0"/>
          <w:sz w:val="24"/>
          <w:szCs w:val="32"/>
        </w:rPr>
        <w:t>p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>-Akt2</w:t>
      </w:r>
      <w:r w:rsidR="00335B8D" w:rsidRPr="00335B8D">
        <w:rPr>
          <w:rFonts w:ascii="Arial" w:eastAsia="AdvOT596495f2+03" w:hAnsi="Arial" w:cs="Arial"/>
          <w:kern w:val="0"/>
          <w:sz w:val="24"/>
          <w:szCs w:val="32"/>
          <w:vertAlign w:val="superscript"/>
        </w:rPr>
        <w:t>+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 cells, and asterisks indicate negative signals. Scale bar: </w:t>
      </w:r>
      <w:r w:rsidR="00335B8D" w:rsidRPr="00335B8D">
        <w:rPr>
          <w:rFonts w:ascii="Arial" w:eastAsia="AdvOT596495f2+03" w:hAnsi="Arial" w:cs="Arial" w:hint="eastAsia"/>
          <w:kern w:val="0"/>
          <w:sz w:val="24"/>
          <w:szCs w:val="32"/>
        </w:rPr>
        <w:t>10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0 </w:t>
      </w:r>
      <w:proofErr w:type="spellStart"/>
      <w:r w:rsidRPr="00335B8D">
        <w:rPr>
          <w:rFonts w:ascii="Arial" w:eastAsia="AdvOT596495f2+03" w:hAnsi="Arial" w:cs="Arial"/>
          <w:kern w:val="0"/>
          <w:sz w:val="24"/>
          <w:szCs w:val="32"/>
        </w:rPr>
        <w:t>μm</w:t>
      </w:r>
      <w:proofErr w:type="spellEnd"/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. </w:t>
      </w:r>
    </w:p>
    <w:p w14:paraId="6DCFCCE8" w14:textId="4EFFDE56" w:rsidR="00AE5928" w:rsidRDefault="008174E5" w:rsidP="00096A17">
      <w:pPr>
        <w:autoSpaceDE w:val="0"/>
        <w:autoSpaceDN w:val="0"/>
        <w:adjustRightInd w:val="0"/>
        <w:spacing w:after="120" w:line="480" w:lineRule="auto"/>
        <w:rPr>
          <w:rFonts w:ascii="Arial" w:eastAsia="AdvOT596495f2+03" w:hAnsi="Arial" w:cs="Arial"/>
          <w:kern w:val="0"/>
          <w:sz w:val="24"/>
          <w:szCs w:val="32"/>
        </w:rPr>
      </w:pP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(B) Quantitative analysis of the mean fluorescence intensity of </w:t>
      </w:r>
      <w:r w:rsidRPr="00335B8D">
        <w:rPr>
          <w:rFonts w:ascii="Arial" w:eastAsia="AdvOT596495f2+03" w:hAnsi="Arial" w:cs="Arial"/>
          <w:i/>
          <w:iCs/>
          <w:kern w:val="0"/>
          <w:sz w:val="24"/>
          <w:szCs w:val="32"/>
        </w:rPr>
        <w:t>p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>-Akt2</w:t>
      </w:r>
      <w:r w:rsidR="00335B8D" w:rsidRPr="00335B8D">
        <w:rPr>
          <w:rFonts w:ascii="Arial" w:eastAsia="AdvOT596495f2+03" w:hAnsi="Arial" w:cs="Arial"/>
          <w:kern w:val="0"/>
          <w:sz w:val="24"/>
          <w:szCs w:val="32"/>
          <w:vertAlign w:val="superscript"/>
        </w:rPr>
        <w:t>+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 cells of 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lastRenderedPageBreak/>
        <w:t xml:space="preserve">condyles. </w:t>
      </w:r>
      <w:r w:rsidR="00012698">
        <w:rPr>
          <w:rFonts w:ascii="Arial" w:hAnsi="Arial" w:cs="Arial" w:hint="eastAsia"/>
          <w:kern w:val="0"/>
          <w:sz w:val="24"/>
          <w:szCs w:val="24"/>
        </w:rPr>
        <w:t>The d</w:t>
      </w:r>
      <w:r w:rsidR="00335B8D" w:rsidRPr="00CC5FD5">
        <w:rPr>
          <w:rFonts w:ascii="Arial" w:hAnsi="Arial" w:cs="Arial"/>
          <w:kern w:val="0"/>
          <w:sz w:val="24"/>
          <w:szCs w:val="24"/>
        </w:rPr>
        <w:t>ata were presented as mean and SEM. Statistical analysis</w:t>
      </w:r>
      <w:r w:rsidR="00335B8D" w:rsidRPr="00CC5FD5">
        <w:rPr>
          <w:rFonts w:ascii="Arial" w:eastAsia="华文仿宋" w:hAnsi="Arial" w:cs="Arial"/>
          <w:sz w:val="24"/>
          <w:szCs w:val="24"/>
        </w:rPr>
        <w:t xml:space="preserve"> was determined by one-way ANOVA with Bonferroni’s multiple comparison test</w:t>
      </w:r>
      <w:r w:rsidR="00335B8D" w:rsidRPr="00CC5FD5">
        <w:rPr>
          <w:rFonts w:ascii="Arial" w:hAnsi="Arial" w:cs="Arial"/>
          <w:sz w:val="24"/>
          <w:szCs w:val="24"/>
        </w:rPr>
        <w:t>.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 *</w:t>
      </w:r>
      <w:r w:rsidR="00747A75">
        <w:rPr>
          <w:rFonts w:ascii="Arial" w:eastAsia="AdvOT596495f2+03" w:hAnsi="Arial" w:cs="Arial" w:hint="eastAsia"/>
          <w:kern w:val="0"/>
          <w:sz w:val="24"/>
          <w:szCs w:val="32"/>
        </w:rPr>
        <w:t xml:space="preserve"> </w:t>
      </w:r>
      <w:r w:rsidRPr="00335B8D">
        <w:rPr>
          <w:rFonts w:ascii="Arial" w:eastAsia="AdvOT596495f2+03" w:hAnsi="Arial" w:cs="Arial"/>
          <w:i/>
          <w:iCs/>
          <w:kern w:val="0"/>
          <w:sz w:val="24"/>
          <w:szCs w:val="32"/>
        </w:rPr>
        <w:t>P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 &lt; 0.0</w:t>
      </w:r>
      <w:r w:rsidR="00747A75">
        <w:rPr>
          <w:rFonts w:ascii="Arial" w:eastAsia="AdvOT596495f2+03" w:hAnsi="Arial" w:cs="Arial" w:hint="eastAsia"/>
          <w:kern w:val="0"/>
          <w:sz w:val="24"/>
          <w:szCs w:val="32"/>
        </w:rPr>
        <w:t>5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>.</w:t>
      </w:r>
      <w:r w:rsidRPr="00335B8D">
        <w:rPr>
          <w:rFonts w:ascii="Arial" w:eastAsia="AdvOT596495f2+03" w:hAnsi="Arial" w:cs="Arial" w:hint="eastAsia"/>
          <w:kern w:val="0"/>
          <w:sz w:val="24"/>
          <w:szCs w:val="32"/>
        </w:rPr>
        <w:t xml:space="preserve"> 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>n = 3 per group.</w:t>
      </w:r>
    </w:p>
    <w:p w14:paraId="1EA88400" w14:textId="467AAB40" w:rsidR="00335B8D" w:rsidRPr="00335B8D" w:rsidRDefault="00335B8D" w:rsidP="00335B8D">
      <w:pPr>
        <w:autoSpaceDE w:val="0"/>
        <w:autoSpaceDN w:val="0"/>
        <w:adjustRightInd w:val="0"/>
        <w:spacing w:after="120" w:line="480" w:lineRule="auto"/>
        <w:rPr>
          <w:rFonts w:ascii="Arial" w:eastAsia="AdvOT596495f2+03" w:hAnsi="Arial" w:cs="Arial"/>
          <w:kern w:val="0"/>
          <w:sz w:val="24"/>
          <w:szCs w:val="32"/>
        </w:rPr>
      </w:pPr>
      <w:r w:rsidRPr="00335B8D">
        <w:rPr>
          <w:rFonts w:ascii="Arial" w:eastAsia="AdvOT596495f2+03" w:hAnsi="Arial" w:cs="Arial"/>
          <w:kern w:val="0"/>
          <w:sz w:val="24"/>
          <w:szCs w:val="32"/>
        </w:rPr>
        <w:t>(</w:t>
      </w:r>
      <w:r>
        <w:rPr>
          <w:rFonts w:ascii="Arial" w:eastAsia="AdvOT596495f2+03" w:hAnsi="Arial" w:cs="Arial" w:hint="eastAsia"/>
          <w:kern w:val="0"/>
          <w:sz w:val="24"/>
          <w:szCs w:val="32"/>
        </w:rPr>
        <w:t>C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) Representative images of immunofluorescence staining of EGFP and Akt2 in condyles in </w:t>
      </w:r>
      <w:proofErr w:type="spellStart"/>
      <w:r w:rsidRPr="00335B8D">
        <w:rPr>
          <w:rFonts w:ascii="Arial" w:eastAsia="AdvOT596495f2+03" w:hAnsi="Arial" w:cs="Arial"/>
          <w:kern w:val="0"/>
          <w:sz w:val="24"/>
          <w:szCs w:val="32"/>
        </w:rPr>
        <w:t>shCtrl</w:t>
      </w:r>
      <w:proofErr w:type="spellEnd"/>
      <w:r w:rsidRPr="00335B8D">
        <w:rPr>
          <w:rFonts w:ascii="Arial" w:eastAsia="AdvOT596495f2+03" w:hAnsi="Arial" w:cs="Arial"/>
          <w:kern w:val="0"/>
          <w:sz w:val="24"/>
          <w:szCs w:val="32"/>
        </w:rPr>
        <w:t>- or shAkt2-treated rats. The white dotted line shows the demarcation between the articular cartilage and underlying subchondral bone. The white arrowheads indicate Akt2</w:t>
      </w:r>
      <w:r w:rsidRPr="00335B8D">
        <w:rPr>
          <w:rFonts w:ascii="Arial" w:eastAsia="AdvOT596495f2+03" w:hAnsi="Arial" w:cs="Arial"/>
          <w:kern w:val="0"/>
          <w:sz w:val="24"/>
          <w:szCs w:val="32"/>
          <w:vertAlign w:val="superscript"/>
        </w:rPr>
        <w:t>+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 cells, and asterisks indicate negative signals. Scale bar: </w:t>
      </w:r>
      <w:r w:rsidRPr="00335B8D">
        <w:rPr>
          <w:rFonts w:ascii="Arial" w:eastAsia="AdvOT596495f2+03" w:hAnsi="Arial" w:cs="Arial" w:hint="eastAsia"/>
          <w:kern w:val="0"/>
          <w:sz w:val="24"/>
          <w:szCs w:val="32"/>
        </w:rPr>
        <w:t>10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0 </w:t>
      </w:r>
      <w:proofErr w:type="spellStart"/>
      <w:r w:rsidRPr="00335B8D">
        <w:rPr>
          <w:rFonts w:ascii="Arial" w:eastAsia="AdvOT596495f2+03" w:hAnsi="Arial" w:cs="Arial"/>
          <w:kern w:val="0"/>
          <w:sz w:val="24"/>
          <w:szCs w:val="32"/>
        </w:rPr>
        <w:t>μm</w:t>
      </w:r>
      <w:proofErr w:type="spellEnd"/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. </w:t>
      </w:r>
    </w:p>
    <w:p w14:paraId="4D13DC2E" w14:textId="3A526C21" w:rsidR="00AE5928" w:rsidRDefault="00335B8D" w:rsidP="00335B8D">
      <w:pPr>
        <w:autoSpaceDE w:val="0"/>
        <w:autoSpaceDN w:val="0"/>
        <w:adjustRightInd w:val="0"/>
        <w:spacing w:after="120" w:line="480" w:lineRule="auto"/>
        <w:rPr>
          <w:rFonts w:ascii="Arial" w:hAnsi="Arial" w:cs="Arial"/>
          <w:sz w:val="24"/>
          <w:szCs w:val="24"/>
        </w:rPr>
      </w:pPr>
      <w:r w:rsidRPr="00335B8D">
        <w:rPr>
          <w:rFonts w:ascii="Arial" w:eastAsia="AdvOT596495f2+03" w:hAnsi="Arial" w:cs="Arial"/>
          <w:kern w:val="0"/>
          <w:sz w:val="24"/>
          <w:szCs w:val="32"/>
        </w:rPr>
        <w:t>(</w:t>
      </w:r>
      <w:r>
        <w:rPr>
          <w:rFonts w:ascii="Arial" w:eastAsia="AdvOT596495f2+03" w:hAnsi="Arial" w:cs="Arial" w:hint="eastAsia"/>
          <w:kern w:val="0"/>
          <w:sz w:val="24"/>
          <w:szCs w:val="32"/>
        </w:rPr>
        <w:t>D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>) Quantitative analysis of the mean fluorescence intensity of Akt2</w:t>
      </w:r>
      <w:r w:rsidRPr="00335B8D">
        <w:rPr>
          <w:rFonts w:ascii="Arial" w:eastAsia="AdvOT596495f2+03" w:hAnsi="Arial" w:cs="Arial"/>
          <w:kern w:val="0"/>
          <w:sz w:val="24"/>
          <w:szCs w:val="32"/>
          <w:vertAlign w:val="superscript"/>
        </w:rPr>
        <w:t>+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 cells of condyles. </w:t>
      </w:r>
      <w:r w:rsidR="00012698">
        <w:rPr>
          <w:rFonts w:ascii="Arial" w:hAnsi="Arial" w:cs="Arial" w:hint="eastAsia"/>
          <w:kern w:val="0"/>
          <w:sz w:val="24"/>
          <w:szCs w:val="24"/>
        </w:rPr>
        <w:t>The d</w:t>
      </w:r>
      <w:r w:rsidRPr="00CC5FD5">
        <w:rPr>
          <w:rFonts w:ascii="Arial" w:hAnsi="Arial" w:cs="Arial"/>
          <w:kern w:val="0"/>
          <w:sz w:val="24"/>
          <w:szCs w:val="24"/>
        </w:rPr>
        <w:t>ata were presented as mean and SEM. Statistical analysis</w:t>
      </w:r>
      <w:r w:rsidRPr="00CC5FD5">
        <w:rPr>
          <w:rFonts w:ascii="Arial" w:eastAsia="华文仿宋" w:hAnsi="Arial" w:cs="Arial"/>
          <w:sz w:val="24"/>
          <w:szCs w:val="24"/>
        </w:rPr>
        <w:t xml:space="preserve"> was determined by one-way ANOVA with Bonferroni’s multiple comparison test</w:t>
      </w:r>
      <w:r w:rsidRPr="00CC5FD5">
        <w:rPr>
          <w:rFonts w:ascii="Arial" w:hAnsi="Arial" w:cs="Arial"/>
          <w:sz w:val="24"/>
          <w:szCs w:val="24"/>
        </w:rPr>
        <w:t>.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 ** </w:t>
      </w:r>
      <w:r w:rsidRPr="00335B8D">
        <w:rPr>
          <w:rFonts w:ascii="Arial" w:eastAsia="AdvOT596495f2+03" w:hAnsi="Arial" w:cs="Arial"/>
          <w:i/>
          <w:iCs/>
          <w:kern w:val="0"/>
          <w:sz w:val="24"/>
          <w:szCs w:val="32"/>
        </w:rPr>
        <w:t>P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 xml:space="preserve"> &lt; 0.01.</w:t>
      </w:r>
      <w:r w:rsidRPr="00335B8D">
        <w:rPr>
          <w:rFonts w:ascii="Arial" w:eastAsia="AdvOT596495f2+03" w:hAnsi="Arial" w:cs="Arial" w:hint="eastAsia"/>
          <w:kern w:val="0"/>
          <w:sz w:val="24"/>
          <w:szCs w:val="32"/>
        </w:rPr>
        <w:t xml:space="preserve"> </w:t>
      </w:r>
      <w:r w:rsidRPr="00335B8D">
        <w:rPr>
          <w:rFonts w:ascii="Arial" w:eastAsia="AdvOT596495f2+03" w:hAnsi="Arial" w:cs="Arial"/>
          <w:kern w:val="0"/>
          <w:sz w:val="24"/>
          <w:szCs w:val="32"/>
        </w:rPr>
        <w:t>n = 3 per group.</w:t>
      </w:r>
      <w:bookmarkEnd w:id="0"/>
      <w:r w:rsidR="000D02F1">
        <w:rPr>
          <w:rFonts w:ascii="Arial" w:hAnsi="Arial" w:cs="Arial"/>
          <w:sz w:val="24"/>
          <w:szCs w:val="24"/>
        </w:rPr>
        <w:br w:type="page"/>
      </w:r>
    </w:p>
    <w:p w14:paraId="1D2A23DE" w14:textId="25119AB8" w:rsidR="00CC5FD5" w:rsidRDefault="006664F3" w:rsidP="000D02F1">
      <w:pPr>
        <w:spacing w:after="120"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2F69576B" wp14:editId="07D6E62C">
            <wp:extent cx="3600000" cy="2155839"/>
            <wp:effectExtent l="0" t="0" r="635" b="0"/>
            <wp:docPr id="9357945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94586" name="图片 9357945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5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D91E9" w14:textId="77777777" w:rsidR="008174E5" w:rsidRDefault="008174E5" w:rsidP="000D02F1">
      <w:pPr>
        <w:spacing w:after="120" w:line="480" w:lineRule="auto"/>
        <w:rPr>
          <w:rFonts w:ascii="Arial" w:hAnsi="Arial" w:cs="Arial"/>
          <w:b/>
          <w:bCs/>
          <w:noProof/>
          <w:color w:val="0070C0"/>
          <w:sz w:val="20"/>
          <w:szCs w:val="20"/>
        </w:rPr>
      </w:pPr>
      <w:r w:rsidRPr="00CC5FD5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>
        <w:rPr>
          <w:rFonts w:ascii="Arial" w:hAnsi="Arial" w:cs="Arial" w:hint="eastAsia"/>
          <w:b/>
          <w:bCs/>
          <w:sz w:val="24"/>
          <w:szCs w:val="24"/>
        </w:rPr>
        <w:t>3</w:t>
      </w:r>
      <w:r w:rsidRPr="00CC5FD5">
        <w:rPr>
          <w:rFonts w:ascii="Arial" w:hAnsi="Arial" w:cs="Arial"/>
          <w:b/>
          <w:bCs/>
          <w:sz w:val="24"/>
          <w:szCs w:val="24"/>
        </w:rPr>
        <w:t>.</w:t>
      </w:r>
      <w:r w:rsidRPr="008174E5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74E5">
        <w:rPr>
          <w:rFonts w:ascii="Arial" w:hAnsi="Arial" w:cs="Arial" w:hint="eastAsia"/>
          <w:b/>
          <w:bCs/>
          <w:sz w:val="24"/>
          <w:szCs w:val="24"/>
        </w:rPr>
        <w:t>MR images</w:t>
      </w:r>
      <w:r w:rsidRPr="008174E5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74E5">
        <w:rPr>
          <w:rFonts w:ascii="Arial" w:hAnsi="Arial" w:cs="Arial" w:hint="eastAsia"/>
          <w:b/>
          <w:bCs/>
          <w:sz w:val="24"/>
          <w:szCs w:val="24"/>
        </w:rPr>
        <w:t>of TMJs</w:t>
      </w:r>
      <w:r w:rsidRPr="008174E5">
        <w:rPr>
          <w:rFonts w:ascii="Arial" w:hAnsi="Arial" w:cs="Arial"/>
          <w:b/>
          <w:bCs/>
          <w:sz w:val="24"/>
          <w:szCs w:val="24"/>
        </w:rPr>
        <w:t xml:space="preserve"> in </w:t>
      </w:r>
      <w:r w:rsidRPr="008174E5">
        <w:rPr>
          <w:rFonts w:ascii="Arial" w:hAnsi="Arial" w:cs="Arial" w:hint="eastAsia"/>
          <w:b/>
          <w:bCs/>
          <w:sz w:val="24"/>
          <w:szCs w:val="24"/>
        </w:rPr>
        <w:t xml:space="preserve">the rat </w:t>
      </w:r>
      <w:r w:rsidRPr="008174E5">
        <w:rPr>
          <w:rFonts w:ascii="Arial" w:hAnsi="Arial" w:cs="Arial"/>
          <w:b/>
          <w:bCs/>
          <w:sz w:val="24"/>
          <w:szCs w:val="24"/>
        </w:rPr>
        <w:t>model.</w:t>
      </w:r>
      <w:r w:rsidRPr="00824F07">
        <w:rPr>
          <w:rFonts w:ascii="Arial" w:hAnsi="Arial" w:cs="Arial"/>
          <w:b/>
          <w:bCs/>
          <w:noProof/>
          <w:color w:val="0070C0"/>
          <w:sz w:val="20"/>
          <w:szCs w:val="20"/>
        </w:rPr>
        <w:t xml:space="preserve"> </w:t>
      </w:r>
    </w:p>
    <w:p w14:paraId="57656F02" w14:textId="77777777" w:rsidR="00057EF0" w:rsidRPr="00012698" w:rsidRDefault="00057EF0" w:rsidP="00057EF0">
      <w:pPr>
        <w:spacing w:after="120" w:line="480" w:lineRule="auto"/>
        <w:rPr>
          <w:rFonts w:ascii="Arial" w:hAnsi="Arial" w:cs="Arial"/>
          <w:sz w:val="24"/>
          <w:szCs w:val="24"/>
        </w:rPr>
      </w:pPr>
      <w:r w:rsidRPr="00012698">
        <w:rPr>
          <w:rFonts w:ascii="Arial" w:hAnsi="Arial" w:cs="Arial"/>
          <w:sz w:val="24"/>
          <w:szCs w:val="24"/>
        </w:rPr>
        <w:t xml:space="preserve">(A) Representative T2 weighted image of </w:t>
      </w:r>
      <w:r w:rsidRPr="00012698">
        <w:rPr>
          <w:rFonts w:ascii="Arial" w:hAnsi="Arial" w:cs="Arial" w:hint="eastAsia"/>
          <w:sz w:val="24"/>
          <w:szCs w:val="24"/>
        </w:rPr>
        <w:t xml:space="preserve">TMJ </w:t>
      </w:r>
      <w:r w:rsidRPr="00012698">
        <w:rPr>
          <w:rFonts w:ascii="Arial" w:hAnsi="Arial" w:cs="Arial"/>
          <w:sz w:val="24"/>
          <w:szCs w:val="24"/>
        </w:rPr>
        <w:t>after</w:t>
      </w:r>
      <w:r w:rsidRPr="00012698">
        <w:rPr>
          <w:rFonts w:ascii="Arial" w:hAnsi="Arial" w:cs="Arial" w:hint="eastAsia"/>
          <w:sz w:val="24"/>
          <w:szCs w:val="24"/>
        </w:rPr>
        <w:t xml:space="preserve"> sham operation</w:t>
      </w:r>
      <w:r w:rsidRPr="00012698">
        <w:rPr>
          <w:rFonts w:ascii="Arial" w:hAnsi="Arial" w:cs="Arial"/>
          <w:sz w:val="24"/>
          <w:szCs w:val="24"/>
        </w:rPr>
        <w:t xml:space="preserve"> in sagittal section. The white dotted line shows</w:t>
      </w:r>
      <w:r w:rsidRPr="00012698">
        <w:rPr>
          <w:rFonts w:ascii="Arial" w:hAnsi="Arial" w:cs="Arial" w:hint="eastAsia"/>
          <w:sz w:val="24"/>
          <w:szCs w:val="24"/>
        </w:rPr>
        <w:t xml:space="preserve"> the TMJ disc</w:t>
      </w:r>
      <w:r w:rsidRPr="00012698">
        <w:rPr>
          <w:rFonts w:ascii="Arial" w:hAnsi="Arial" w:cs="Arial"/>
          <w:sz w:val="24"/>
          <w:szCs w:val="24"/>
        </w:rPr>
        <w:t xml:space="preserve">. The white </w:t>
      </w:r>
      <w:r w:rsidRPr="00012698">
        <w:rPr>
          <w:rFonts w:ascii="Arial" w:hAnsi="Arial" w:cs="Arial" w:hint="eastAsia"/>
          <w:sz w:val="24"/>
          <w:szCs w:val="24"/>
        </w:rPr>
        <w:t xml:space="preserve">star shows </w:t>
      </w:r>
      <w:r w:rsidRPr="00012698">
        <w:rPr>
          <w:rFonts w:ascii="Arial" w:hAnsi="Arial" w:cs="Arial"/>
          <w:sz w:val="24"/>
          <w:szCs w:val="24"/>
        </w:rPr>
        <w:t>articular tubercle</w:t>
      </w:r>
      <w:r w:rsidRPr="00012698">
        <w:rPr>
          <w:rFonts w:ascii="Arial" w:hAnsi="Arial" w:cs="Arial" w:hint="eastAsia"/>
          <w:sz w:val="24"/>
          <w:szCs w:val="24"/>
        </w:rPr>
        <w:t xml:space="preserve">. </w:t>
      </w:r>
      <w:r w:rsidRPr="00012698">
        <w:rPr>
          <w:rFonts w:ascii="Arial" w:hAnsi="Arial" w:cs="Arial"/>
          <w:sz w:val="24"/>
          <w:szCs w:val="24"/>
        </w:rPr>
        <w:t>T</w:t>
      </w:r>
      <w:r w:rsidRPr="00012698">
        <w:rPr>
          <w:rFonts w:ascii="Arial" w:hAnsi="Arial" w:cs="Arial" w:hint="eastAsia"/>
          <w:sz w:val="24"/>
          <w:szCs w:val="24"/>
        </w:rPr>
        <w:t xml:space="preserve">he white </w:t>
      </w:r>
      <w:r w:rsidRPr="00012698">
        <w:rPr>
          <w:rFonts w:ascii="Arial" w:hAnsi="Arial" w:cs="Arial"/>
          <w:sz w:val="24"/>
          <w:szCs w:val="24"/>
        </w:rPr>
        <w:t>triangle</w:t>
      </w:r>
      <w:r w:rsidRPr="00012698">
        <w:rPr>
          <w:rFonts w:ascii="Arial" w:hAnsi="Arial" w:cs="Arial" w:hint="eastAsia"/>
          <w:sz w:val="24"/>
          <w:szCs w:val="24"/>
        </w:rPr>
        <w:t xml:space="preserve"> shows condyle.</w:t>
      </w:r>
      <w:r w:rsidRPr="00012698">
        <w:rPr>
          <w:rFonts w:ascii="Arial" w:hAnsi="Arial" w:cs="Arial"/>
          <w:sz w:val="24"/>
          <w:szCs w:val="24"/>
        </w:rPr>
        <w:t xml:space="preserve"> The disc is located between the articular tubercle and the condyle.</w:t>
      </w:r>
    </w:p>
    <w:p w14:paraId="6A88C405" w14:textId="070AF267" w:rsidR="008174E5" w:rsidRPr="00057EF0" w:rsidRDefault="00057EF0" w:rsidP="000D02F1">
      <w:pPr>
        <w:spacing w:after="120" w:line="480" w:lineRule="auto"/>
        <w:rPr>
          <w:rFonts w:ascii="Arial" w:hAnsi="Arial" w:cs="Arial"/>
          <w:sz w:val="20"/>
          <w:szCs w:val="20"/>
        </w:rPr>
      </w:pPr>
      <w:r w:rsidRPr="00012698">
        <w:rPr>
          <w:rFonts w:ascii="Arial" w:hAnsi="Arial" w:cs="Arial"/>
          <w:sz w:val="24"/>
          <w:szCs w:val="24"/>
        </w:rPr>
        <w:t xml:space="preserve">(B) Representative T2 weighted image of </w:t>
      </w:r>
      <w:r w:rsidRPr="00012698">
        <w:rPr>
          <w:rFonts w:ascii="Arial" w:hAnsi="Arial" w:cs="Arial" w:hint="eastAsia"/>
          <w:sz w:val="24"/>
          <w:szCs w:val="24"/>
        </w:rPr>
        <w:t xml:space="preserve">TMJ </w:t>
      </w:r>
      <w:r w:rsidRPr="00012698">
        <w:rPr>
          <w:rFonts w:ascii="Arial" w:hAnsi="Arial" w:cs="Arial"/>
          <w:sz w:val="24"/>
          <w:szCs w:val="24"/>
        </w:rPr>
        <w:t>after</w:t>
      </w:r>
      <w:r w:rsidRPr="00012698">
        <w:rPr>
          <w:rFonts w:ascii="Arial" w:hAnsi="Arial" w:cs="Arial" w:hint="eastAsia"/>
          <w:sz w:val="24"/>
          <w:szCs w:val="24"/>
        </w:rPr>
        <w:t xml:space="preserve"> ADD operation</w:t>
      </w:r>
      <w:r w:rsidRPr="00012698">
        <w:rPr>
          <w:rFonts w:ascii="Arial" w:hAnsi="Arial" w:cs="Arial"/>
          <w:sz w:val="24"/>
          <w:szCs w:val="24"/>
        </w:rPr>
        <w:t xml:space="preserve"> in sagittal section. The white dotted line shows</w:t>
      </w:r>
      <w:r w:rsidRPr="00012698">
        <w:rPr>
          <w:rFonts w:ascii="Arial" w:hAnsi="Arial" w:cs="Arial" w:hint="eastAsia"/>
          <w:sz w:val="24"/>
          <w:szCs w:val="24"/>
        </w:rPr>
        <w:t xml:space="preserve"> the TMJ disc</w:t>
      </w:r>
      <w:r w:rsidRPr="00012698">
        <w:rPr>
          <w:rFonts w:ascii="Arial" w:hAnsi="Arial" w:cs="Arial"/>
          <w:sz w:val="24"/>
          <w:szCs w:val="24"/>
        </w:rPr>
        <w:t>.</w:t>
      </w:r>
      <w:r w:rsidRPr="00012698">
        <w:rPr>
          <w:rFonts w:ascii="Arial" w:hAnsi="Arial" w:cs="Arial" w:hint="eastAsia"/>
          <w:sz w:val="24"/>
          <w:szCs w:val="24"/>
        </w:rPr>
        <w:t xml:space="preserve"> </w:t>
      </w:r>
      <w:r w:rsidRPr="00012698">
        <w:rPr>
          <w:rFonts w:ascii="Arial" w:hAnsi="Arial" w:cs="Arial"/>
          <w:sz w:val="24"/>
          <w:szCs w:val="24"/>
        </w:rPr>
        <w:t xml:space="preserve">The white </w:t>
      </w:r>
      <w:r w:rsidRPr="00012698">
        <w:rPr>
          <w:rFonts w:ascii="Arial" w:hAnsi="Arial" w:cs="Arial" w:hint="eastAsia"/>
          <w:sz w:val="24"/>
          <w:szCs w:val="24"/>
        </w:rPr>
        <w:t xml:space="preserve">star shows </w:t>
      </w:r>
      <w:r w:rsidRPr="00012698">
        <w:rPr>
          <w:rFonts w:ascii="Arial" w:hAnsi="Arial" w:cs="Arial"/>
          <w:sz w:val="24"/>
          <w:szCs w:val="24"/>
        </w:rPr>
        <w:t>articular tubercle</w:t>
      </w:r>
      <w:r w:rsidRPr="00012698">
        <w:rPr>
          <w:rFonts w:ascii="Arial" w:hAnsi="Arial" w:cs="Arial" w:hint="eastAsia"/>
          <w:sz w:val="24"/>
          <w:szCs w:val="24"/>
        </w:rPr>
        <w:t xml:space="preserve">. </w:t>
      </w:r>
      <w:r w:rsidRPr="00012698">
        <w:rPr>
          <w:rFonts w:ascii="Arial" w:hAnsi="Arial" w:cs="Arial"/>
          <w:sz w:val="24"/>
          <w:szCs w:val="24"/>
        </w:rPr>
        <w:t>T</w:t>
      </w:r>
      <w:r w:rsidRPr="00012698">
        <w:rPr>
          <w:rFonts w:ascii="Arial" w:hAnsi="Arial" w:cs="Arial" w:hint="eastAsia"/>
          <w:sz w:val="24"/>
          <w:szCs w:val="24"/>
        </w:rPr>
        <w:t xml:space="preserve">he white </w:t>
      </w:r>
      <w:r w:rsidRPr="00012698">
        <w:rPr>
          <w:rFonts w:ascii="Arial" w:hAnsi="Arial" w:cs="Arial"/>
          <w:sz w:val="24"/>
          <w:szCs w:val="24"/>
        </w:rPr>
        <w:t>triangle</w:t>
      </w:r>
      <w:r w:rsidRPr="00012698">
        <w:rPr>
          <w:rFonts w:ascii="Arial" w:hAnsi="Arial" w:cs="Arial" w:hint="eastAsia"/>
          <w:sz w:val="24"/>
          <w:szCs w:val="24"/>
        </w:rPr>
        <w:t xml:space="preserve"> shows condyle.</w:t>
      </w:r>
      <w:r w:rsidRPr="00012698">
        <w:rPr>
          <w:rFonts w:ascii="Arial" w:hAnsi="Arial" w:cs="Arial"/>
          <w:sz w:val="24"/>
          <w:szCs w:val="24"/>
        </w:rPr>
        <w:t xml:space="preserve"> The disc is located anterior to the condyle.</w:t>
      </w:r>
    </w:p>
    <w:sectPr w:rsidR="008174E5" w:rsidRPr="00057EF0" w:rsidSect="00316A6D">
      <w:footerReference w:type="default" r:id="rId9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A1841" w14:textId="77777777" w:rsidR="002A5237" w:rsidRDefault="002A5237">
      <w:r>
        <w:separator/>
      </w:r>
    </w:p>
  </w:endnote>
  <w:endnote w:type="continuationSeparator" w:id="0">
    <w:p w14:paraId="35623DD5" w14:textId="77777777" w:rsidR="002A5237" w:rsidRDefault="002A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MTPro-Medium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dvOT596495f2+03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7417077"/>
      <w:docPartObj>
        <w:docPartGallery w:val="AutoText"/>
      </w:docPartObj>
    </w:sdtPr>
    <w:sdtContent>
      <w:p w14:paraId="33B76D4B" w14:textId="77777777" w:rsidR="00CA3026" w:rsidRDefault="00B713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0E2" w:rsidRPr="00FA10E2">
          <w:rPr>
            <w:noProof/>
            <w:lang w:val="zh-CN"/>
          </w:rPr>
          <w:t>1</w:t>
        </w:r>
        <w:r>
          <w:fldChar w:fldCharType="end"/>
        </w:r>
      </w:p>
    </w:sdtContent>
  </w:sdt>
  <w:p w14:paraId="1EE89AA8" w14:textId="77777777" w:rsidR="00CA3026" w:rsidRDefault="00CA302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F0DCA" w14:textId="77777777" w:rsidR="002A5237" w:rsidRDefault="002A5237">
      <w:r>
        <w:separator/>
      </w:r>
    </w:p>
  </w:footnote>
  <w:footnote w:type="continuationSeparator" w:id="0">
    <w:p w14:paraId="04B4973A" w14:textId="77777777" w:rsidR="002A5237" w:rsidRDefault="002A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6D"/>
    <w:rsid w:val="00012698"/>
    <w:rsid w:val="00024437"/>
    <w:rsid w:val="00035114"/>
    <w:rsid w:val="00057EF0"/>
    <w:rsid w:val="00073601"/>
    <w:rsid w:val="00096A17"/>
    <w:rsid w:val="000D02F1"/>
    <w:rsid w:val="000F2548"/>
    <w:rsid w:val="00110BA5"/>
    <w:rsid w:val="0013426C"/>
    <w:rsid w:val="002673AF"/>
    <w:rsid w:val="002A5237"/>
    <w:rsid w:val="002B76B9"/>
    <w:rsid w:val="002F4FF5"/>
    <w:rsid w:val="00316A6D"/>
    <w:rsid w:val="00335B8D"/>
    <w:rsid w:val="003A5565"/>
    <w:rsid w:val="003E7924"/>
    <w:rsid w:val="004B38EA"/>
    <w:rsid w:val="004F564F"/>
    <w:rsid w:val="00502FF9"/>
    <w:rsid w:val="00503E97"/>
    <w:rsid w:val="00577E80"/>
    <w:rsid w:val="005C43D4"/>
    <w:rsid w:val="00614907"/>
    <w:rsid w:val="0062277B"/>
    <w:rsid w:val="00634985"/>
    <w:rsid w:val="006420D7"/>
    <w:rsid w:val="006565E6"/>
    <w:rsid w:val="006664F3"/>
    <w:rsid w:val="006B7A13"/>
    <w:rsid w:val="006C2770"/>
    <w:rsid w:val="00747A75"/>
    <w:rsid w:val="00796CB7"/>
    <w:rsid w:val="007A7AA2"/>
    <w:rsid w:val="007B3C43"/>
    <w:rsid w:val="008174E5"/>
    <w:rsid w:val="00830769"/>
    <w:rsid w:val="008818AE"/>
    <w:rsid w:val="008D31EB"/>
    <w:rsid w:val="008E50AA"/>
    <w:rsid w:val="00925D8F"/>
    <w:rsid w:val="00941D0D"/>
    <w:rsid w:val="009562FE"/>
    <w:rsid w:val="009718EA"/>
    <w:rsid w:val="00984507"/>
    <w:rsid w:val="00997484"/>
    <w:rsid w:val="00A16B24"/>
    <w:rsid w:val="00A409C5"/>
    <w:rsid w:val="00A75C63"/>
    <w:rsid w:val="00AC707D"/>
    <w:rsid w:val="00AE5928"/>
    <w:rsid w:val="00B14A3F"/>
    <w:rsid w:val="00B20D25"/>
    <w:rsid w:val="00B71387"/>
    <w:rsid w:val="00BA3941"/>
    <w:rsid w:val="00C1632D"/>
    <w:rsid w:val="00C5155B"/>
    <w:rsid w:val="00C90EB9"/>
    <w:rsid w:val="00CA3026"/>
    <w:rsid w:val="00CC5FD5"/>
    <w:rsid w:val="00D342DE"/>
    <w:rsid w:val="00D422DF"/>
    <w:rsid w:val="00D430CF"/>
    <w:rsid w:val="00D92125"/>
    <w:rsid w:val="00DA3CE9"/>
    <w:rsid w:val="00DB0DF3"/>
    <w:rsid w:val="00DF782D"/>
    <w:rsid w:val="00E33E64"/>
    <w:rsid w:val="00E4366B"/>
    <w:rsid w:val="00E50EED"/>
    <w:rsid w:val="00E834A5"/>
    <w:rsid w:val="00E84DB1"/>
    <w:rsid w:val="00EC1204"/>
    <w:rsid w:val="00EE653D"/>
    <w:rsid w:val="00EE7928"/>
    <w:rsid w:val="00F14F2D"/>
    <w:rsid w:val="00F244E1"/>
    <w:rsid w:val="00F6658E"/>
    <w:rsid w:val="00FA10E2"/>
    <w:rsid w:val="00FB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86858"/>
  <w15:chartTrackingRefBased/>
  <w15:docId w15:val="{3701FC0D-80B0-4FDD-A6CE-22701081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4E5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paragraph" w:styleId="2">
    <w:name w:val="heading 2"/>
    <w:basedOn w:val="a"/>
    <w:next w:val="a"/>
    <w:link w:val="20"/>
    <w:uiPriority w:val="9"/>
    <w:qFormat/>
    <w:rsid w:val="00316A6D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qFormat/>
    <w:rsid w:val="00316A6D"/>
    <w:rPr>
      <w:rFonts w:ascii="宋体" w:eastAsia="宋体" w:hAnsi="宋体" w:cs="宋体"/>
      <w:b/>
      <w:bCs/>
      <w:kern w:val="0"/>
      <w:sz w:val="36"/>
      <w:szCs w:val="36"/>
      <w14:ligatures w14:val="none"/>
    </w:rPr>
  </w:style>
  <w:style w:type="paragraph" w:styleId="a3">
    <w:name w:val="footer"/>
    <w:basedOn w:val="a"/>
    <w:link w:val="a4"/>
    <w:uiPriority w:val="99"/>
    <w:unhideWhenUsed/>
    <w:rsid w:val="00316A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16A6D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5">
    <w:name w:val="List Paragraph"/>
    <w:basedOn w:val="a"/>
    <w:uiPriority w:val="34"/>
    <w:qFormat/>
    <w:rsid w:val="00614907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796C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96CB7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8">
    <w:name w:val="Revision"/>
    <w:hidden/>
    <w:uiPriority w:val="99"/>
    <w:semiHidden/>
    <w:rsid w:val="0062277B"/>
    <w:rPr>
      <w:rFonts w:ascii="Times New Roman" w:eastAsia="宋体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诗阳 冯</dc:creator>
  <cp:keywords/>
  <dc:description/>
  <cp:lastModifiedBy>诗阳 冯</cp:lastModifiedBy>
  <cp:revision>19</cp:revision>
  <dcterms:created xsi:type="dcterms:W3CDTF">2024-07-14T06:38:00Z</dcterms:created>
  <dcterms:modified xsi:type="dcterms:W3CDTF">2024-09-25T06:18:00Z</dcterms:modified>
</cp:coreProperties>
</file>