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A4FE7" w14:textId="4640F0F4" w:rsidR="00C01396" w:rsidRPr="0025211A" w:rsidRDefault="00E73E26" w:rsidP="00E73E2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4C7998">
        <w:rPr>
          <w:rFonts w:ascii="Calibri" w:hAnsi="Calibri" w:cs="Calibri"/>
          <w:b/>
          <w:bCs/>
          <w:sz w:val="24"/>
          <w:szCs w:val="24"/>
        </w:rPr>
        <w:t xml:space="preserve">Supplementary </w:t>
      </w:r>
      <w:r>
        <w:rPr>
          <w:rFonts w:ascii="Calibri" w:hAnsi="Calibri" w:cs="Calibri"/>
          <w:b/>
          <w:bCs/>
          <w:sz w:val="24"/>
          <w:szCs w:val="24"/>
        </w:rPr>
        <w:t>T</w:t>
      </w:r>
      <w:r w:rsidRPr="004C7998">
        <w:rPr>
          <w:rFonts w:ascii="Calibri" w:hAnsi="Calibri" w:cs="Calibri"/>
          <w:b/>
          <w:bCs/>
          <w:sz w:val="24"/>
          <w:szCs w:val="24"/>
        </w:rPr>
        <w:t xml:space="preserve">able </w:t>
      </w:r>
      <w:r>
        <w:rPr>
          <w:rFonts w:ascii="Calibri" w:hAnsi="Calibri" w:cs="Calibri"/>
          <w:b/>
          <w:bCs/>
          <w:sz w:val="24"/>
          <w:szCs w:val="24"/>
        </w:rPr>
        <w:t xml:space="preserve">1. </w:t>
      </w:r>
    </w:p>
    <w:tbl>
      <w:tblPr>
        <w:tblStyle w:val="PlainTable4"/>
        <w:tblW w:w="9484" w:type="dxa"/>
        <w:tblLayout w:type="fixed"/>
        <w:tblLook w:val="04A0" w:firstRow="1" w:lastRow="0" w:firstColumn="1" w:lastColumn="0" w:noHBand="0" w:noVBand="1"/>
      </w:tblPr>
      <w:tblGrid>
        <w:gridCol w:w="1276"/>
        <w:gridCol w:w="1660"/>
        <w:gridCol w:w="1459"/>
        <w:gridCol w:w="992"/>
        <w:gridCol w:w="993"/>
        <w:gridCol w:w="1276"/>
        <w:gridCol w:w="1701"/>
        <w:gridCol w:w="127"/>
      </w:tblGrid>
      <w:tr w:rsidR="004B2038" w:rsidRPr="00C33DD4" w14:paraId="08203DEE" w14:textId="77777777" w:rsidTr="0056387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7" w:type="dxa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77791BBB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  <w:hideMark/>
          </w:tcPr>
          <w:p w14:paraId="7C29D8F4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Primary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</w:t>
            </w: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utcome measure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  <w:hideMark/>
          </w:tcPr>
          <w:p w14:paraId="6C750AF0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Statistical test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61319498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# Groups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  <w:hideMark/>
          </w:tcPr>
          <w:p w14:paraId="461E6B5A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Animals/ group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8093743" w14:textId="77777777" w:rsidR="004B2038" w:rsidRPr="003E6F75" w:rsidDel="00666487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Observed effect size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3499B778" w14:textId="77777777" w:rsidR="004B2038" w:rsidRPr="003E6F75" w:rsidRDefault="004B2038" w:rsidP="00E73E26">
            <w:pPr>
              <w:spacing w:line="240" w:lineRule="auto"/>
              <w:ind w:right="-1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Sensitivity analysis for row sample size/test</w:t>
            </w:r>
          </w:p>
        </w:tc>
      </w:tr>
      <w:tr w:rsidR="004B2038" w:rsidRPr="00C33DD4" w14:paraId="34304A2C" w14:textId="77777777" w:rsidTr="00563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</w:tcBorders>
            <w:vAlign w:val="center"/>
          </w:tcPr>
          <w:p w14:paraId="57F483F0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AIA knee swelling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5A767C08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Size across knee joint</w:t>
            </w: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14:paraId="0E8123B0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Independent samples t</w:t>
            </w: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-test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0B42D62E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2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1E1F61E1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11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34FAACEF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d=2.5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*</w:t>
            </w:r>
          </w:p>
        </w:tc>
        <w:tc>
          <w:tcPr>
            <w:tcW w:w="0" w:type="dxa"/>
            <w:gridSpan w:val="2"/>
            <w:tcBorders>
              <w:top w:val="single" w:sz="4" w:space="0" w:color="auto"/>
            </w:tcBorders>
            <w:vAlign w:val="center"/>
          </w:tcPr>
          <w:p w14:paraId="0FC92F82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d=1.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26</w:t>
            </w:r>
          </w:p>
        </w:tc>
      </w:tr>
      <w:tr w:rsidR="004B2038" w:rsidRPr="00C33DD4" w14:paraId="5C6F2586" w14:textId="77777777" w:rsidTr="00563875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3B9A3973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PMX histology</w:t>
            </w:r>
          </w:p>
        </w:tc>
        <w:tc>
          <w:tcPr>
            <w:tcW w:w="0" w:type="dxa"/>
            <w:vAlign w:val="center"/>
          </w:tcPr>
          <w:p w14:paraId="269AC4D9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Cartilage loss</w:t>
            </w:r>
          </w:p>
        </w:tc>
        <w:tc>
          <w:tcPr>
            <w:tcW w:w="1459" w:type="dxa"/>
            <w:vAlign w:val="center"/>
          </w:tcPr>
          <w:p w14:paraId="1A7E8B08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RM-</w:t>
            </w: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ANOVA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, between-group effect of treatment</w:t>
            </w:r>
          </w:p>
        </w:tc>
        <w:tc>
          <w:tcPr>
            <w:tcW w:w="0" w:type="dxa"/>
            <w:vAlign w:val="center"/>
          </w:tcPr>
          <w:p w14:paraId="03A86F5A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2</w:t>
            </w:r>
          </w:p>
        </w:tc>
        <w:tc>
          <w:tcPr>
            <w:tcW w:w="0" w:type="dxa"/>
            <w:vAlign w:val="center"/>
          </w:tcPr>
          <w:p w14:paraId="6FC48112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9-10</w:t>
            </w:r>
          </w:p>
        </w:tc>
        <w:tc>
          <w:tcPr>
            <w:tcW w:w="0" w:type="dxa"/>
            <w:vAlign w:val="center"/>
          </w:tcPr>
          <w:p w14:paraId="60988447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F=1.04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*</w:t>
            </w:r>
          </w:p>
        </w:tc>
        <w:tc>
          <w:tcPr>
            <w:tcW w:w="0" w:type="dxa"/>
            <w:gridSpan w:val="2"/>
            <w:vAlign w:val="center"/>
          </w:tcPr>
          <w:p w14:paraId="561771A2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F=0.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56</w:t>
            </w:r>
          </w:p>
        </w:tc>
      </w:tr>
      <w:tr w:rsidR="004B2038" w:rsidRPr="00C33DD4" w14:paraId="334DAC6F" w14:textId="77777777" w:rsidTr="00563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2EFF5F12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AIA</w:t>
            </w:r>
          </w:p>
          <w:p w14:paraId="15EF03C4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imaging </w:t>
            </w:r>
          </w:p>
        </w:tc>
        <w:tc>
          <w:tcPr>
            <w:tcW w:w="0" w:type="dxa"/>
            <w:vAlign w:val="center"/>
          </w:tcPr>
          <w:p w14:paraId="0D7041F6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% joint silent nociceptors spontaneously active </w:t>
            </w:r>
          </w:p>
        </w:tc>
        <w:tc>
          <w:tcPr>
            <w:tcW w:w="1459" w:type="dxa"/>
            <w:vAlign w:val="center"/>
          </w:tcPr>
          <w:p w14:paraId="269F1FFC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Kruskal-Wallis test</w:t>
            </w:r>
          </w:p>
        </w:tc>
        <w:tc>
          <w:tcPr>
            <w:tcW w:w="0" w:type="dxa"/>
            <w:vAlign w:val="center"/>
          </w:tcPr>
          <w:p w14:paraId="419AC111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dxa"/>
            <w:vAlign w:val="center"/>
          </w:tcPr>
          <w:p w14:paraId="68ED7DB1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10-11</w:t>
            </w:r>
          </w:p>
        </w:tc>
        <w:tc>
          <w:tcPr>
            <w:tcW w:w="0" w:type="dxa"/>
            <w:vAlign w:val="center"/>
          </w:tcPr>
          <w:p w14:paraId="79FBEB4E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F=0.72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0" w:type="dxa"/>
            <w:gridSpan w:val="2"/>
            <w:vAlign w:val="center"/>
          </w:tcPr>
          <w:p w14:paraId="507F00C7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F=0.66</w:t>
            </w:r>
          </w:p>
        </w:tc>
      </w:tr>
      <w:tr w:rsidR="004B2038" w:rsidRPr="00C33DD4" w14:paraId="79A4C32D" w14:textId="77777777" w:rsidTr="00563875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45DCE582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PMX</w:t>
            </w:r>
          </w:p>
          <w:p w14:paraId="465D7522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imaging </w:t>
            </w:r>
          </w:p>
        </w:tc>
        <w:tc>
          <w:tcPr>
            <w:tcW w:w="0" w:type="dxa"/>
            <w:vAlign w:val="center"/>
          </w:tcPr>
          <w:p w14:paraId="0A636914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% joint silent nociceptors spontaneously active </w:t>
            </w:r>
          </w:p>
        </w:tc>
        <w:tc>
          <w:tcPr>
            <w:tcW w:w="1459" w:type="dxa"/>
            <w:vAlign w:val="center"/>
          </w:tcPr>
          <w:p w14:paraId="22C2E1EF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Kruskal-Wallis test</w:t>
            </w:r>
          </w:p>
        </w:tc>
        <w:tc>
          <w:tcPr>
            <w:tcW w:w="0" w:type="dxa"/>
            <w:vAlign w:val="center"/>
          </w:tcPr>
          <w:p w14:paraId="2962541C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dxa"/>
            <w:vAlign w:val="center"/>
          </w:tcPr>
          <w:p w14:paraId="3C41782F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9-10</w:t>
            </w:r>
          </w:p>
        </w:tc>
        <w:tc>
          <w:tcPr>
            <w:tcW w:w="0" w:type="dxa"/>
            <w:vAlign w:val="center"/>
          </w:tcPr>
          <w:p w14:paraId="36AC7DE3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F=0.08 </w:t>
            </w:r>
          </w:p>
        </w:tc>
        <w:tc>
          <w:tcPr>
            <w:tcW w:w="0" w:type="dxa"/>
            <w:gridSpan w:val="2"/>
            <w:vAlign w:val="center"/>
          </w:tcPr>
          <w:p w14:paraId="12664D00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F=0.66</w:t>
            </w:r>
          </w:p>
        </w:tc>
      </w:tr>
      <w:tr w:rsidR="004B2038" w:rsidRPr="00C33DD4" w14:paraId="001B51D1" w14:textId="77777777" w:rsidTr="00563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  <w:hideMark/>
          </w:tcPr>
          <w:p w14:paraId="40E08ECF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AIA</w:t>
            </w:r>
          </w:p>
          <w:p w14:paraId="01D35F9D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behaviour </w:t>
            </w:r>
          </w:p>
        </w:tc>
        <w:tc>
          <w:tcPr>
            <w:tcW w:w="0" w:type="dxa"/>
            <w:vAlign w:val="center"/>
            <w:hideMark/>
          </w:tcPr>
          <w:p w14:paraId="2507B74B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Distance travelled</w:t>
            </w:r>
          </w:p>
          <w:p w14:paraId="340F8700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Time spent mobile</w:t>
            </w:r>
          </w:p>
        </w:tc>
        <w:tc>
          <w:tcPr>
            <w:tcW w:w="1459" w:type="dxa"/>
            <w:vAlign w:val="center"/>
            <w:hideMark/>
          </w:tcPr>
          <w:p w14:paraId="52BAD1CE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RM-</w:t>
            </w: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ANOVA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, between-group effect of treatment</w:t>
            </w:r>
          </w:p>
        </w:tc>
        <w:tc>
          <w:tcPr>
            <w:tcW w:w="0" w:type="dxa"/>
            <w:vAlign w:val="center"/>
            <w:hideMark/>
          </w:tcPr>
          <w:p w14:paraId="640FBEA0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dxa"/>
            <w:vAlign w:val="center"/>
            <w:hideMark/>
          </w:tcPr>
          <w:p w14:paraId="4B10E474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9-10</w:t>
            </w:r>
          </w:p>
        </w:tc>
        <w:tc>
          <w:tcPr>
            <w:tcW w:w="0" w:type="dxa"/>
            <w:vAlign w:val="center"/>
          </w:tcPr>
          <w:p w14:paraId="6219184C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 F=1.27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*</w:t>
            </w:r>
          </w:p>
        </w:tc>
        <w:tc>
          <w:tcPr>
            <w:tcW w:w="0" w:type="dxa"/>
            <w:gridSpan w:val="2"/>
            <w:vAlign w:val="center"/>
            <w:hideMark/>
          </w:tcPr>
          <w:p w14:paraId="77C5F37F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F=</w:t>
            </w:r>
            <w:r w:rsidRPr="003E6F75">
              <w:rPr>
                <w:rFonts w:ascii="Calibri" w:hAnsi="Calibri" w:cs="Calibri"/>
                <w:color w:val="000000"/>
              </w:rPr>
              <w:t>0.55</w:t>
            </w:r>
          </w:p>
        </w:tc>
      </w:tr>
      <w:tr w:rsidR="004B2038" w:rsidRPr="00C33DD4" w14:paraId="7A2E94F5" w14:textId="77777777" w:rsidTr="00563875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  <w:hideMark/>
          </w:tcPr>
          <w:p w14:paraId="331E6A03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PMX</w:t>
            </w:r>
          </w:p>
          <w:p w14:paraId="30D5B994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home cag</w:t>
            </w:r>
            <w:r w:rsidRPr="003E6F75"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en-GB"/>
                <w14:ligatures w14:val="none"/>
              </w:rPr>
              <w:t xml:space="preserve">e </w:t>
            </w: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behavior </w:t>
            </w:r>
          </w:p>
        </w:tc>
        <w:tc>
          <w:tcPr>
            <w:tcW w:w="0" w:type="dxa"/>
            <w:vAlign w:val="center"/>
            <w:hideMark/>
          </w:tcPr>
          <w:p w14:paraId="123D2561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Distance travelled</w:t>
            </w:r>
          </w:p>
          <w:p w14:paraId="4ECFC012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Time spent mobile</w:t>
            </w:r>
          </w:p>
        </w:tc>
        <w:tc>
          <w:tcPr>
            <w:tcW w:w="1459" w:type="dxa"/>
            <w:vAlign w:val="center"/>
            <w:hideMark/>
          </w:tcPr>
          <w:p w14:paraId="13085778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RM-</w:t>
            </w: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ANOVA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, between-group effect of treatment</w:t>
            </w:r>
          </w:p>
        </w:tc>
        <w:tc>
          <w:tcPr>
            <w:tcW w:w="0" w:type="dxa"/>
            <w:vAlign w:val="center"/>
            <w:hideMark/>
          </w:tcPr>
          <w:p w14:paraId="421063C5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dxa"/>
            <w:vAlign w:val="center"/>
            <w:hideMark/>
          </w:tcPr>
          <w:p w14:paraId="09D059DB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dxa"/>
            <w:vAlign w:val="center"/>
          </w:tcPr>
          <w:p w14:paraId="1913DF82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F=0.37 </w:t>
            </w:r>
          </w:p>
        </w:tc>
        <w:tc>
          <w:tcPr>
            <w:tcW w:w="0" w:type="dxa"/>
            <w:gridSpan w:val="2"/>
            <w:vAlign w:val="center"/>
            <w:hideMark/>
          </w:tcPr>
          <w:p w14:paraId="2A723381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F=</w:t>
            </w:r>
            <w:r w:rsidRPr="003E6F75"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4B2038" w:rsidRPr="00C33DD4" w14:paraId="51678EBC" w14:textId="77777777" w:rsidTr="00563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vAlign w:val="center"/>
          </w:tcPr>
          <w:p w14:paraId="68156493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PMX</w:t>
            </w:r>
          </w:p>
          <w:p w14:paraId="17C0590F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Weight bearing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center"/>
          </w:tcPr>
          <w:p w14:paraId="49255F61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Hind limb weight bearing ratio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39C8D84B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RM-</w:t>
            </w:r>
            <w:r w:rsidRPr="003E6F75"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ANOVA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GB" w:eastAsia="en-GB"/>
                <w14:ligatures w14:val="none"/>
              </w:rPr>
              <w:t>, between-group effect of treatment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center"/>
          </w:tcPr>
          <w:p w14:paraId="691E76BB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center"/>
          </w:tcPr>
          <w:p w14:paraId="50BDDAB2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vAlign w:val="center"/>
          </w:tcPr>
          <w:p w14:paraId="1E7BB4AF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F=0.39</w:t>
            </w:r>
          </w:p>
        </w:tc>
        <w:tc>
          <w:tcPr>
            <w:tcW w:w="0" w:type="dxa"/>
            <w:gridSpan w:val="2"/>
            <w:tcBorders>
              <w:bottom w:val="single" w:sz="4" w:space="0" w:color="auto"/>
            </w:tcBorders>
            <w:vAlign w:val="center"/>
          </w:tcPr>
          <w:p w14:paraId="0ACF6522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E6F7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F=</w:t>
            </w:r>
            <w:r w:rsidRPr="003E6F75">
              <w:rPr>
                <w:rFonts w:ascii="Calibri" w:hAnsi="Calibri" w:cs="Calibri"/>
                <w:color w:val="000000"/>
              </w:rPr>
              <w:t>0.50</w:t>
            </w:r>
          </w:p>
        </w:tc>
      </w:tr>
    </w:tbl>
    <w:p w14:paraId="6126EF32" w14:textId="6E058563" w:rsidR="004B2038" w:rsidRDefault="004B2038" w:rsidP="00E73E26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Summary of statistical tests and n-numbers used and the effect sizes we observed. A star indicates when an effect size was statistically significant in a given experiment. The last column provides a sensitivity analysis, indicating the minimum effect sizes that can theoretically be detected with 80% probability when carrying out an experiment with the statistical test and n number provided for each row. </w:t>
      </w:r>
    </w:p>
    <w:p w14:paraId="2339D955" w14:textId="77777777" w:rsidR="00E73E26" w:rsidRDefault="00E73E26" w:rsidP="00E73E26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00A68E11" w14:textId="77777777" w:rsidR="00E73E26" w:rsidRDefault="00E73E26" w:rsidP="00E73E26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2DB32C34" w14:textId="3F8A59C4" w:rsidR="004B2038" w:rsidRPr="00A3033F" w:rsidRDefault="00E73E26" w:rsidP="00E73E26">
      <w:pPr>
        <w:spacing w:line="240" w:lineRule="auto"/>
        <w:rPr>
          <w:rFonts w:ascii="Calibri" w:hAnsi="Calibri" w:cs="Calibri"/>
          <w:sz w:val="24"/>
          <w:szCs w:val="24"/>
        </w:rPr>
      </w:pPr>
      <w:r w:rsidRPr="00600758">
        <w:rPr>
          <w:rFonts w:ascii="Calibri" w:hAnsi="Calibri" w:cs="Calibri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600758">
        <w:rPr>
          <w:rFonts w:ascii="Calibri" w:hAnsi="Calibri" w:cs="Calibri"/>
          <w:b/>
          <w:bCs/>
          <w:sz w:val="24"/>
          <w:szCs w:val="24"/>
        </w:rPr>
        <w:t xml:space="preserve">. </w:t>
      </w:r>
      <w:r w:rsidRPr="00600758">
        <w:rPr>
          <w:rFonts w:ascii="Calibri" w:hAnsi="Calibri" w:cs="Calibri"/>
          <w:b/>
          <w:bCs/>
          <w:i/>
          <w:sz w:val="24"/>
          <w:szCs w:val="24"/>
        </w:rPr>
        <w:t>In vivo</w:t>
      </w:r>
      <w:r w:rsidRPr="00600758">
        <w:rPr>
          <w:rFonts w:ascii="Calibri" w:hAnsi="Calibri" w:cs="Calibri"/>
          <w:b/>
          <w:bCs/>
          <w:sz w:val="24"/>
          <w:szCs w:val="24"/>
        </w:rPr>
        <w:t xml:space="preserve"> calcium imaging data presented per neuron.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535"/>
        <w:gridCol w:w="1370"/>
        <w:gridCol w:w="1370"/>
        <w:gridCol w:w="1370"/>
        <w:gridCol w:w="1371"/>
      </w:tblGrid>
      <w:tr w:rsidR="004B2038" w:rsidRPr="003E6F75" w14:paraId="0A140DD1" w14:textId="77777777" w:rsidTr="00563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  <w:tcBorders>
              <w:bottom w:val="single" w:sz="4" w:space="0" w:color="auto"/>
            </w:tcBorders>
          </w:tcPr>
          <w:p w14:paraId="4DB394F7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D66ABE8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AIA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6DDDDDD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CTRL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895476A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text1"/>
                <w:kern w:val="24"/>
              </w:rPr>
              <w:t>PMX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41E1AF6F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text1"/>
                <w:kern w:val="24"/>
              </w:rPr>
              <w:t>Sham</w:t>
            </w:r>
          </w:p>
        </w:tc>
      </w:tr>
      <w:tr w:rsidR="004B2038" w:rsidRPr="003E6F75" w14:paraId="0206D439" w14:textId="77777777" w:rsidTr="00563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  <w:tcBorders>
              <w:top w:val="single" w:sz="4" w:space="0" w:color="auto"/>
            </w:tcBorders>
          </w:tcPr>
          <w:p w14:paraId="3E62D242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text1"/>
                <w:kern w:val="24"/>
              </w:rPr>
              <w:t># L4 neurons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702904D1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3483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70AAB3C5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4082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14:paraId="5FBF717E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3197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4E71E263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3124</w:t>
            </w:r>
          </w:p>
        </w:tc>
      </w:tr>
      <w:tr w:rsidR="004B2038" w:rsidRPr="003E6F75" w14:paraId="2B4580F4" w14:textId="77777777" w:rsidTr="0056387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</w:tcPr>
          <w:p w14:paraId="5B084388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text1"/>
                <w:kern w:val="24"/>
              </w:rPr>
              <w:t># Spontaneously active L4 neurons</w:t>
            </w:r>
          </w:p>
        </w:tc>
        <w:tc>
          <w:tcPr>
            <w:tcW w:w="1370" w:type="dxa"/>
          </w:tcPr>
          <w:p w14:paraId="6713946B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414</w:t>
            </w:r>
          </w:p>
        </w:tc>
        <w:tc>
          <w:tcPr>
            <w:tcW w:w="1370" w:type="dxa"/>
          </w:tcPr>
          <w:p w14:paraId="7531BFCF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379</w:t>
            </w:r>
          </w:p>
        </w:tc>
        <w:tc>
          <w:tcPr>
            <w:tcW w:w="1370" w:type="dxa"/>
          </w:tcPr>
          <w:p w14:paraId="10985A78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227</w:t>
            </w:r>
          </w:p>
        </w:tc>
        <w:tc>
          <w:tcPr>
            <w:tcW w:w="1371" w:type="dxa"/>
          </w:tcPr>
          <w:p w14:paraId="3FD36138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284</w:t>
            </w:r>
          </w:p>
        </w:tc>
      </w:tr>
      <w:tr w:rsidR="004B2038" w:rsidRPr="003E6F75" w14:paraId="525B0BBA" w14:textId="77777777" w:rsidTr="00563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</w:tcPr>
          <w:p w14:paraId="2470E1CA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text1"/>
                <w:kern w:val="24"/>
              </w:rPr>
              <w:t># FB+ neurons</w:t>
            </w:r>
          </w:p>
        </w:tc>
        <w:tc>
          <w:tcPr>
            <w:tcW w:w="1370" w:type="dxa"/>
          </w:tcPr>
          <w:p w14:paraId="1992D15C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63</w:t>
            </w:r>
          </w:p>
        </w:tc>
        <w:tc>
          <w:tcPr>
            <w:tcW w:w="1370" w:type="dxa"/>
          </w:tcPr>
          <w:p w14:paraId="30767B22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61</w:t>
            </w:r>
          </w:p>
        </w:tc>
        <w:tc>
          <w:tcPr>
            <w:tcW w:w="1370" w:type="dxa"/>
          </w:tcPr>
          <w:p w14:paraId="4C5E907B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75</w:t>
            </w:r>
          </w:p>
        </w:tc>
        <w:tc>
          <w:tcPr>
            <w:tcW w:w="1371" w:type="dxa"/>
          </w:tcPr>
          <w:p w14:paraId="62D9A34F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55</w:t>
            </w:r>
          </w:p>
        </w:tc>
      </w:tr>
      <w:tr w:rsidR="004B2038" w:rsidRPr="003E6F75" w14:paraId="0DB20F12" w14:textId="77777777" w:rsidTr="0056387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</w:tcPr>
          <w:p w14:paraId="09DDCC58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text1"/>
                <w:kern w:val="24"/>
              </w:rPr>
              <w:t># Spontaneously active FB+ neurons</w:t>
            </w:r>
          </w:p>
        </w:tc>
        <w:tc>
          <w:tcPr>
            <w:tcW w:w="1370" w:type="dxa"/>
          </w:tcPr>
          <w:p w14:paraId="1CF5036B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14</w:t>
            </w:r>
          </w:p>
        </w:tc>
        <w:tc>
          <w:tcPr>
            <w:tcW w:w="1370" w:type="dxa"/>
          </w:tcPr>
          <w:p w14:paraId="7E90E33A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1</w:t>
            </w:r>
          </w:p>
        </w:tc>
        <w:tc>
          <w:tcPr>
            <w:tcW w:w="1370" w:type="dxa"/>
          </w:tcPr>
          <w:p w14:paraId="176A3397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2</w:t>
            </w:r>
          </w:p>
        </w:tc>
        <w:tc>
          <w:tcPr>
            <w:tcW w:w="1371" w:type="dxa"/>
          </w:tcPr>
          <w:p w14:paraId="6049E3B9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2</w:t>
            </w:r>
          </w:p>
        </w:tc>
      </w:tr>
      <w:tr w:rsidR="004B2038" w:rsidRPr="003E6F75" w14:paraId="677B0A33" w14:textId="77777777" w:rsidTr="00563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</w:tcPr>
          <w:p w14:paraId="02F8D75F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text1"/>
                <w:kern w:val="24"/>
              </w:rPr>
              <w:t>Proportion of spontaneously active L4 neurons still active post-lidocaine</w:t>
            </w:r>
          </w:p>
        </w:tc>
        <w:tc>
          <w:tcPr>
            <w:tcW w:w="1370" w:type="dxa"/>
          </w:tcPr>
          <w:p w14:paraId="1F6B02F9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62/3179</w:t>
            </w:r>
          </w:p>
        </w:tc>
        <w:tc>
          <w:tcPr>
            <w:tcW w:w="1370" w:type="dxa"/>
          </w:tcPr>
          <w:p w14:paraId="675DCB6C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64/2522</w:t>
            </w:r>
          </w:p>
        </w:tc>
        <w:tc>
          <w:tcPr>
            <w:tcW w:w="1370" w:type="dxa"/>
          </w:tcPr>
          <w:p w14:paraId="1451CB39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51/3197</w:t>
            </w:r>
          </w:p>
        </w:tc>
        <w:tc>
          <w:tcPr>
            <w:tcW w:w="1371" w:type="dxa"/>
          </w:tcPr>
          <w:p w14:paraId="20EE0D25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36/2430</w:t>
            </w:r>
          </w:p>
        </w:tc>
      </w:tr>
      <w:tr w:rsidR="004B2038" w:rsidRPr="003E6F75" w14:paraId="146EA417" w14:textId="77777777" w:rsidTr="0056387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  <w:tcBorders>
              <w:bottom w:val="single" w:sz="4" w:space="0" w:color="auto"/>
            </w:tcBorders>
          </w:tcPr>
          <w:p w14:paraId="7643247C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text1"/>
                <w:kern w:val="24"/>
              </w:rPr>
              <w:t>Proportion of spontaneously active FB+ neurons still active post-lidocaine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08DBA0B6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1/11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CB11CBD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/>
                <w:kern w:val="24"/>
              </w:rPr>
              <w:t>0/1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1A86875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dark1"/>
                <w:kern w:val="24"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0/2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14BC3CA1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0/2</w:t>
            </w:r>
          </w:p>
        </w:tc>
      </w:tr>
    </w:tbl>
    <w:p w14:paraId="6A3340CB" w14:textId="1A94D8F0" w:rsidR="004B2038" w:rsidRDefault="004B2038" w:rsidP="00E73E26">
      <w:pPr>
        <w:spacing w:line="240" w:lineRule="auto"/>
        <w:rPr>
          <w:rFonts w:ascii="Calibri" w:hAnsi="Calibri" w:cs="Calibri"/>
          <w:sz w:val="24"/>
          <w:szCs w:val="24"/>
        </w:rPr>
      </w:pPr>
      <w:r w:rsidRPr="00600758">
        <w:rPr>
          <w:rFonts w:ascii="Calibri" w:hAnsi="Calibri" w:cs="Calibri"/>
          <w:sz w:val="24"/>
          <w:szCs w:val="24"/>
        </w:rPr>
        <w:t xml:space="preserve">FB = </w:t>
      </w:r>
      <w:r>
        <w:rPr>
          <w:rFonts w:ascii="Calibri" w:hAnsi="Calibri" w:cs="Calibri"/>
          <w:sz w:val="24"/>
          <w:szCs w:val="24"/>
        </w:rPr>
        <w:t>fast blue</w:t>
      </w:r>
      <w:r w:rsidRPr="00600758">
        <w:rPr>
          <w:rFonts w:ascii="Calibri" w:hAnsi="Calibri" w:cs="Calibri"/>
          <w:sz w:val="24"/>
          <w:szCs w:val="24"/>
        </w:rPr>
        <w:t>. AIA = Antigen induced arthritis. PMX = partial medial meniscectomy</w:t>
      </w:r>
    </w:p>
    <w:p w14:paraId="5D2B0B43" w14:textId="77777777" w:rsidR="00E73E26" w:rsidRDefault="00E73E26" w:rsidP="00E73E26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7BAB676E" w14:textId="77777777" w:rsidR="00E73E26" w:rsidRDefault="00E73E26" w:rsidP="00E73E26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70FCD6D7" w14:textId="77777777" w:rsidR="00E73E26" w:rsidRDefault="00E73E26" w:rsidP="00E73E26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7074DFE8" w14:textId="77777777" w:rsidR="00E73E26" w:rsidRPr="00A3033F" w:rsidRDefault="00E73E26" w:rsidP="00E73E26">
      <w:pPr>
        <w:spacing w:line="240" w:lineRule="auto"/>
        <w:rPr>
          <w:rFonts w:ascii="Calibri" w:hAnsi="Calibri" w:cs="Calibri"/>
          <w:sz w:val="24"/>
          <w:szCs w:val="24"/>
        </w:rPr>
      </w:pPr>
    </w:p>
    <w:p w14:paraId="5FEF8DA5" w14:textId="30C93F10" w:rsidR="004B2038" w:rsidRPr="00600758" w:rsidRDefault="00E73E26" w:rsidP="00E73E26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600758">
        <w:rPr>
          <w:rFonts w:ascii="Calibri" w:hAnsi="Calibri" w:cs="Calibri"/>
          <w:b/>
          <w:bCs/>
          <w:sz w:val="24"/>
          <w:szCs w:val="24"/>
        </w:rPr>
        <w:t xml:space="preserve">Supplementary Table </w:t>
      </w:r>
      <w:r>
        <w:rPr>
          <w:rFonts w:ascii="Calibri" w:hAnsi="Calibri" w:cs="Calibri"/>
          <w:b/>
          <w:bCs/>
          <w:sz w:val="24"/>
          <w:szCs w:val="24"/>
        </w:rPr>
        <w:t>3</w:t>
      </w:r>
      <w:r w:rsidRPr="00600758">
        <w:rPr>
          <w:rFonts w:ascii="Calibri" w:hAnsi="Calibri" w:cs="Calibri"/>
          <w:b/>
          <w:bCs/>
          <w:sz w:val="24"/>
          <w:szCs w:val="24"/>
        </w:rPr>
        <w:t xml:space="preserve">. Responses of spontaneously active </w:t>
      </w:r>
      <w:r>
        <w:rPr>
          <w:rFonts w:ascii="Calibri" w:hAnsi="Calibri" w:cs="Calibri"/>
          <w:b/>
          <w:bCs/>
          <w:sz w:val="24"/>
          <w:szCs w:val="24"/>
        </w:rPr>
        <w:t>fast blue</w:t>
      </w:r>
      <w:r w:rsidRPr="00600758">
        <w:rPr>
          <w:rFonts w:ascii="Calibri" w:hAnsi="Calibri" w:cs="Calibri"/>
          <w:b/>
          <w:bCs/>
          <w:sz w:val="24"/>
          <w:szCs w:val="24"/>
        </w:rPr>
        <w:t xml:space="preserve"> join</w:t>
      </w:r>
      <w:r>
        <w:rPr>
          <w:rFonts w:ascii="Calibri" w:hAnsi="Calibri" w:cs="Calibri"/>
          <w:b/>
          <w:bCs/>
          <w:sz w:val="24"/>
          <w:szCs w:val="24"/>
        </w:rPr>
        <w:t>t</w:t>
      </w:r>
      <w:r w:rsidRPr="00600758">
        <w:rPr>
          <w:rFonts w:ascii="Calibri" w:hAnsi="Calibri" w:cs="Calibri"/>
          <w:b/>
          <w:bCs/>
          <w:sz w:val="24"/>
          <w:szCs w:val="24"/>
        </w:rPr>
        <w:t xml:space="preserve"> neurons to capsaicin</w:t>
      </w:r>
    </w:p>
    <w:tbl>
      <w:tblPr>
        <w:tblStyle w:val="PlainTable4"/>
        <w:tblW w:w="9016" w:type="dxa"/>
        <w:tblLook w:val="04A0" w:firstRow="1" w:lastRow="0" w:firstColumn="1" w:lastColumn="0" w:noHBand="0" w:noVBand="1"/>
      </w:tblPr>
      <w:tblGrid>
        <w:gridCol w:w="1144"/>
        <w:gridCol w:w="1975"/>
        <w:gridCol w:w="1969"/>
        <w:gridCol w:w="1969"/>
        <w:gridCol w:w="1959"/>
      </w:tblGrid>
      <w:tr w:rsidR="004B2038" w:rsidRPr="00600758" w14:paraId="25D0E560" w14:textId="77777777" w:rsidTr="005638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  <w:tcBorders>
              <w:bottom w:val="single" w:sz="4" w:space="0" w:color="auto"/>
            </w:tcBorders>
          </w:tcPr>
          <w:p w14:paraId="0419D088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14:paraId="6D619FDC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Spontaneously active prior to capsaicin application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553EAC70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Blocked after capsaicin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606A25B8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Activated and blocked after capsaicin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6335E64C" w14:textId="77777777" w:rsidR="004B2038" w:rsidRPr="003E6F75" w:rsidRDefault="004B2038" w:rsidP="00E73E2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dark1"/>
                <w:kern w:val="24"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Activated by capsaicin</w:t>
            </w:r>
          </w:p>
        </w:tc>
      </w:tr>
      <w:tr w:rsidR="004B2038" w:rsidRPr="00600758" w14:paraId="334F0BEB" w14:textId="77777777" w:rsidTr="005638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  <w:tcBorders>
              <w:top w:val="single" w:sz="4" w:space="0" w:color="auto"/>
            </w:tcBorders>
          </w:tcPr>
          <w:p w14:paraId="59FC5FB4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</w:rPr>
              <w:t># neurons</w:t>
            </w:r>
          </w:p>
        </w:tc>
        <w:tc>
          <w:tcPr>
            <w:tcW w:w="1975" w:type="dxa"/>
            <w:tcBorders>
              <w:top w:val="single" w:sz="4" w:space="0" w:color="auto"/>
            </w:tcBorders>
          </w:tcPr>
          <w:p w14:paraId="41F04F56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3B207301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66E8C241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</w:tcBorders>
          </w:tcPr>
          <w:p w14:paraId="0A71301A" w14:textId="77777777" w:rsidR="004B2038" w:rsidRPr="003E6F75" w:rsidRDefault="004B2038" w:rsidP="00E73E26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dark1"/>
                <w:kern w:val="24"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2</w:t>
            </w:r>
          </w:p>
        </w:tc>
      </w:tr>
      <w:tr w:rsidR="004B2038" w:rsidRPr="00600758" w14:paraId="45376790" w14:textId="77777777" w:rsidTr="003C6A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dxa"/>
            <w:tcBorders>
              <w:bottom w:val="single" w:sz="4" w:space="0" w:color="auto"/>
            </w:tcBorders>
          </w:tcPr>
          <w:p w14:paraId="7A89123B" w14:textId="77777777" w:rsidR="004B2038" w:rsidRPr="003E6F75" w:rsidRDefault="004B2038" w:rsidP="00E73E26">
            <w:pPr>
              <w:spacing w:line="240" w:lineRule="auto"/>
              <w:jc w:val="center"/>
              <w:rPr>
                <w:rFonts w:ascii="Calibri" w:hAnsi="Calibri" w:cs="Calibri"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%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14:paraId="778D55CB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04215066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75.0%</w:t>
            </w: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14:paraId="0D161214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25.0%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14:paraId="22C04583" w14:textId="77777777" w:rsidR="004B2038" w:rsidRPr="003E6F75" w:rsidRDefault="004B2038" w:rsidP="00E73E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dark1"/>
                <w:kern w:val="24"/>
              </w:rPr>
            </w:pPr>
            <w:r w:rsidRPr="003E6F75">
              <w:rPr>
                <w:rFonts w:ascii="Calibri" w:hAnsi="Calibri" w:cs="Calibri"/>
                <w:color w:val="000000" w:themeColor="dark1"/>
                <w:kern w:val="24"/>
              </w:rPr>
              <w:t>25.0%</w:t>
            </w:r>
          </w:p>
        </w:tc>
      </w:tr>
    </w:tbl>
    <w:p w14:paraId="00CEA999" w14:textId="338509ED" w:rsidR="00975BB1" w:rsidRPr="00666C6D" w:rsidRDefault="004B2038" w:rsidP="00E73E26">
      <w:pPr>
        <w:spacing w:line="240" w:lineRule="auto"/>
        <w:rPr>
          <w:rFonts w:ascii="Calibri" w:hAnsi="Calibri" w:cs="Calibri"/>
          <w:sz w:val="24"/>
          <w:szCs w:val="24"/>
        </w:rPr>
      </w:pPr>
      <w:r w:rsidRPr="00600758">
        <w:rPr>
          <w:rFonts w:ascii="Calibri" w:hAnsi="Calibri" w:cs="Calibri"/>
          <w:sz w:val="24"/>
          <w:szCs w:val="24"/>
        </w:rPr>
        <w:t>Data from n=5 mice that had capsaicin applied to the nerve.</w:t>
      </w:r>
    </w:p>
    <w:sectPr w:rsidR="00975BB1" w:rsidRPr="00666C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38"/>
    <w:rsid w:val="00242A44"/>
    <w:rsid w:val="0025211A"/>
    <w:rsid w:val="002E08D5"/>
    <w:rsid w:val="00312A59"/>
    <w:rsid w:val="003C6A9E"/>
    <w:rsid w:val="004B2038"/>
    <w:rsid w:val="005D18F9"/>
    <w:rsid w:val="00666C6D"/>
    <w:rsid w:val="00772B96"/>
    <w:rsid w:val="009257D8"/>
    <w:rsid w:val="009475DF"/>
    <w:rsid w:val="00975BB1"/>
    <w:rsid w:val="00C01396"/>
    <w:rsid w:val="00E73E26"/>
    <w:rsid w:val="00F36438"/>
    <w:rsid w:val="00FB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28EE3"/>
  <w15:chartTrackingRefBased/>
  <w15:docId w15:val="{39D61F29-FB09-429C-AA48-DFAB09CA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038"/>
    <w:pPr>
      <w:spacing w:after="240" w:line="480" w:lineRule="auto"/>
      <w:jc w:val="both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0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0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0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0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0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0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0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0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0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0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038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4B2038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2E08D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Goodwin</dc:creator>
  <cp:keywords/>
  <dc:description/>
  <cp:lastModifiedBy>George Goodwin</cp:lastModifiedBy>
  <cp:revision>7</cp:revision>
  <dcterms:created xsi:type="dcterms:W3CDTF">2024-08-28T16:21:00Z</dcterms:created>
  <dcterms:modified xsi:type="dcterms:W3CDTF">2024-09-05T14:00:00Z</dcterms:modified>
</cp:coreProperties>
</file>