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459" w:rsidRPr="007C0C8A" w:rsidRDefault="007F4459" w:rsidP="007F4459">
      <w:pPr>
        <w:pStyle w:val="NormalWeb"/>
        <w:spacing w:line="360" w:lineRule="auto"/>
        <w:rPr>
          <w:rFonts w:asciiTheme="minorHAnsi" w:hAnsiTheme="minorHAnsi" w:cstheme="minorHAnsi"/>
          <w:lang w:val="en-GB"/>
        </w:rPr>
      </w:pPr>
      <w:bookmarkStart w:id="0" w:name="_GoBack"/>
      <w:proofErr w:type="gramStart"/>
      <w:r w:rsidRPr="007C0C8A">
        <w:rPr>
          <w:rFonts w:asciiTheme="minorHAnsi" w:hAnsiTheme="minorHAnsi" w:cstheme="minorHAnsi"/>
          <w:b/>
          <w:bCs/>
          <w:lang w:val="en-GB"/>
        </w:rPr>
        <w:t>Supplementary Information S3</w:t>
      </w:r>
      <w:bookmarkEnd w:id="0"/>
      <w:r w:rsidRPr="007C0C8A">
        <w:rPr>
          <w:rFonts w:asciiTheme="minorHAnsi" w:hAnsiTheme="minorHAnsi" w:cstheme="minorHAnsi"/>
          <w:b/>
          <w:bCs/>
          <w:lang w:val="en-GB"/>
        </w:rPr>
        <w:t>.</w:t>
      </w:r>
      <w:proofErr w:type="gramEnd"/>
      <w:r w:rsidRPr="007C0C8A">
        <w:rPr>
          <w:rFonts w:asciiTheme="minorHAnsi" w:hAnsiTheme="minorHAnsi" w:cstheme="minorHAnsi"/>
          <w:lang w:val="en-GB"/>
        </w:rPr>
        <w:t xml:space="preserve"> Additional information heterogeneous treatment effect risk modelling.</w:t>
      </w:r>
    </w:p>
    <w:p w:rsidR="00FB4ACF" w:rsidRDefault="007F4459" w:rsidP="007F4459">
      <w:r w:rsidRPr="007C0C8A">
        <w:rPr>
          <w:rFonts w:cstheme="minorHAnsi"/>
        </w:rPr>
        <w:t xml:space="preserve">An ideal setting for risk modelling would be to compare a homogeneous intervention and a homogeneous control group. However, the TOFA-PREDICT study population contains two subgroups (DN patients and DF patients), where the “control group” is different between the two subgroups (methotrexate and </w:t>
      </w:r>
      <w:proofErr w:type="spellStart"/>
      <w:r w:rsidRPr="007C0C8A">
        <w:rPr>
          <w:rFonts w:cstheme="minorHAnsi"/>
        </w:rPr>
        <w:t>etanercept</w:t>
      </w:r>
      <w:proofErr w:type="spellEnd"/>
      <w:r w:rsidRPr="007C0C8A">
        <w:rPr>
          <w:rFonts w:cstheme="minorHAnsi"/>
        </w:rPr>
        <w:t>), and the “intervention group” (</w:t>
      </w:r>
      <w:proofErr w:type="spellStart"/>
      <w:r w:rsidRPr="007C0C8A">
        <w:rPr>
          <w:rFonts w:cstheme="minorHAnsi"/>
        </w:rPr>
        <w:t>tofacitinib</w:t>
      </w:r>
      <w:proofErr w:type="spellEnd"/>
      <w:r w:rsidRPr="007C0C8A">
        <w:rPr>
          <w:rFonts w:cstheme="minorHAnsi"/>
        </w:rPr>
        <w:t xml:space="preserve">) consists of both DN and DF patients. To emphasise the comparison between </w:t>
      </w:r>
      <w:proofErr w:type="spellStart"/>
      <w:r w:rsidRPr="007C0C8A">
        <w:rPr>
          <w:rFonts w:cstheme="minorHAnsi"/>
        </w:rPr>
        <w:t>tofacitinib</w:t>
      </w:r>
      <w:proofErr w:type="spellEnd"/>
      <w:r w:rsidRPr="007C0C8A">
        <w:rPr>
          <w:rFonts w:cstheme="minorHAnsi"/>
        </w:rPr>
        <w:t xml:space="preserve"> and standard of care, we estimated the LP in the intervention groups (DN and DF patients receiving </w:t>
      </w:r>
      <w:proofErr w:type="spellStart"/>
      <w:r w:rsidRPr="007C0C8A">
        <w:rPr>
          <w:rFonts w:cstheme="minorHAnsi"/>
        </w:rPr>
        <w:t>tofacitinib</w:t>
      </w:r>
      <w:proofErr w:type="spellEnd"/>
      <w:r w:rsidRPr="007C0C8A">
        <w:rPr>
          <w:rFonts w:cstheme="minorHAnsi"/>
        </w:rPr>
        <w:t>) and to subsequently add treatment group (including all treatment arms, e.g. both intervention and control groups) and LP*treatment group interaction terms. In other words, the LP of the risk model was ‘trained’ by the intervention treatment, but prediction of response for all four treatment arms was enabled by adding treatment group as a predictor, as well as all the LP*treatment group interaction terms.</w:t>
      </w:r>
      <w:r w:rsidRPr="00E158A4">
        <w:rPr>
          <w:rFonts w:cstheme="minorHAnsi"/>
        </w:rPr>
        <w:t xml:space="preserve"> </w:t>
      </w:r>
      <w:r w:rsidRPr="00E158A4">
        <w:rPr>
          <w:rFonts w:cstheme="minorHAnsi"/>
        </w:rPr>
        <w:br/>
      </w:r>
    </w:p>
    <w:sectPr w:rsidR="00FB4A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459"/>
    <w:rsid w:val="00171D50"/>
    <w:rsid w:val="007F4459"/>
    <w:rsid w:val="00894324"/>
    <w:rsid w:val="00FB4AC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459"/>
    <w:pPr>
      <w:spacing w:after="160" w:line="259" w:lineRule="auto"/>
    </w:pPr>
    <w:rPr>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4459"/>
    <w:pPr>
      <w:spacing w:before="100" w:beforeAutospacing="1" w:after="100" w:afterAutospacing="1" w:line="240" w:lineRule="auto"/>
    </w:pPr>
    <w:rPr>
      <w:rFonts w:ascii="Times New Roman" w:eastAsiaTheme="minorEastAsia" w:hAnsi="Times New Roman" w:cs="Times New Roman"/>
      <w:kern w:val="0"/>
      <w:sz w:val="24"/>
      <w:szCs w:val="24"/>
      <w:lang w:val="nl-NL" w:eastAsia="nl-NL"/>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459"/>
    <w:pPr>
      <w:spacing w:after="160" w:line="259" w:lineRule="auto"/>
    </w:pPr>
    <w:rPr>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4459"/>
    <w:pPr>
      <w:spacing w:before="100" w:beforeAutospacing="1" w:after="100" w:afterAutospacing="1" w:line="240" w:lineRule="auto"/>
    </w:pPr>
    <w:rPr>
      <w:rFonts w:ascii="Times New Roman" w:eastAsiaTheme="minorEastAsia" w:hAnsi="Times New Roman" w:cs="Times New Roman"/>
      <w:kern w:val="0"/>
      <w:sz w:val="24"/>
      <w:szCs w:val="24"/>
      <w:lang w:val="nl-NL"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158</Words>
  <Characters>901</Characters>
  <Application>Microsoft Office Word</Application>
  <DocSecurity>0</DocSecurity>
  <Lines>7</Lines>
  <Paragraphs>2</Paragraphs>
  <ScaleCrop>false</ScaleCrop>
  <Company/>
  <LinksUpToDate>false</LinksUpToDate>
  <CharactersWithSpaces>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Jesrill Adanza Awid</dc:creator>
  <cp:lastModifiedBy>Jesrill Adanza Awid</cp:lastModifiedBy>
  <cp:revision>1</cp:revision>
  <dcterms:created xsi:type="dcterms:W3CDTF">2025-09-20T06:57:00Z</dcterms:created>
  <dcterms:modified xsi:type="dcterms:W3CDTF">2025-09-20T06:57:00Z</dcterms:modified>
</cp:coreProperties>
</file>