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Default Extension="wmf" ContentType="image/x-wmf"/>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both"/>
        <w:rPr>
          <w:rFonts w:ascii="Times New Roman" w:hAnsi="Times New Roman" w:cs="Times New Roman" w:eastAsia="Times New Roman"/>
          <w:color w:val="000000"/>
          <w:spacing w:val="0"/>
          <w:position w:val="0"/>
          <w:sz w:val="21"/>
          <w:u w:val="single"/>
          <w:shd w:fill="FFFF00" w:val="clear"/>
        </w:rPr>
      </w:pPr>
      <w:r>
        <w:object w:dxaOrig="8262" w:dyaOrig="4241">
          <v:rect xmlns:o="urn:schemas-microsoft-com:office:office" xmlns:v="urn:schemas-microsoft-com:vml" id="rectole0000000000" style="width:413.100000pt;height:212.0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0" w:after="0" w:line="480"/>
        <w:ind w:right="0" w:left="0" w:firstLine="0"/>
        <w:jc w:val="both"/>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b/>
          <w:color w:val="000000"/>
          <w:spacing w:val="0"/>
          <w:position w:val="0"/>
          <w:sz w:val="24"/>
          <w:shd w:fill="auto" w:val="clear"/>
        </w:rPr>
        <w:t xml:space="preserve">Figure S1. </w:t>
      </w:r>
      <w:r>
        <w:rPr>
          <w:rFonts w:ascii="Times New Roman" w:hAnsi="Times New Roman" w:cs="Times New Roman" w:eastAsia="Times New Roman"/>
          <w:color w:val="000000"/>
          <w:spacing w:val="0"/>
          <w:position w:val="0"/>
          <w:sz w:val="24"/>
          <w:shd w:fill="auto" w:val="clear"/>
        </w:rPr>
        <w:t xml:space="preserve">Leave-one-out sensitivity analyses for MR estimates. Each plot shows causal estimates after sequentially excluding one SNP at a time, with horizontal lines indicating 95% CIs. The vertical red line marks the overall MR estimate using all SNPs. Panels A</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C show results for gout, and Panels D</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F for SUA, with exposures of RA, SNRA, and SPRA, respectively. </w:t>
      </w:r>
      <w:r>
        <w:rPr>
          <w:rFonts w:ascii="Times New Roman" w:hAnsi="Times New Roman" w:cs="Times New Roman" w:eastAsia="Times New Roman"/>
          <w:b/>
          <w:color w:val="000000"/>
          <w:spacing w:val="0"/>
          <w:position w:val="0"/>
          <w:sz w:val="24"/>
          <w:shd w:fill="auto" w:val="clear"/>
        </w:rPr>
        <w:t xml:space="preserve">Abbreviations: </w:t>
      </w:r>
      <w:r>
        <w:rPr>
          <w:rFonts w:ascii="Times New Roman" w:hAnsi="Times New Roman" w:cs="Times New Roman" w:eastAsia="Times New Roman"/>
          <w:color w:val="000000"/>
          <w:spacing w:val="0"/>
          <w:position w:val="0"/>
          <w:sz w:val="24"/>
          <w:shd w:fill="auto" w:val="clear"/>
        </w:rPr>
        <w:t xml:space="preserve">CI, Confidence Interval; MR, Mendelian Randomization; RA, Rheumatoid Arthritis; SNRA, Seronegative RA; SPRA, Seropositive RA; SNP, Single Nucleotide Polymorphism; SUA, Serum Urate.</w:t>
      </w:r>
    </w:p>
    <w:p>
      <w:pPr>
        <w:spacing w:before="0" w:after="0" w:line="240"/>
        <w:ind w:right="0" w:left="0" w:firstLine="0"/>
        <w:jc w:val="both"/>
        <w:rPr>
          <w:rFonts w:ascii="Times New Roman" w:hAnsi="Times New Roman" w:cs="Times New Roman" w:eastAsia="Times New Roman"/>
          <w:color w:val="000000"/>
          <w:spacing w:val="0"/>
          <w:position w:val="0"/>
          <w:sz w:val="21"/>
          <w:u w:val="single"/>
          <w:shd w:fill="FFFF00" w:val="clear"/>
        </w:rPr>
      </w:pPr>
      <w:r>
        <w:object w:dxaOrig="8283" w:dyaOrig="3751">
          <v:rect xmlns:o="urn:schemas-microsoft-com:office:office" xmlns:v="urn:schemas-microsoft-com:vml" id="rectole0000000001" style="width:414.150000pt;height:187.55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p>
    <w:p>
      <w:pPr>
        <w:spacing w:before="0" w:after="0" w:line="240"/>
        <w:ind w:right="0" w:left="0" w:firstLine="0"/>
        <w:jc w:val="both"/>
        <w:rPr>
          <w:rFonts w:ascii="Times New Roman" w:hAnsi="Times New Roman" w:cs="Times New Roman" w:eastAsia="Times New Roman"/>
          <w:color w:val="000000"/>
          <w:spacing w:val="0"/>
          <w:position w:val="0"/>
          <w:sz w:val="21"/>
          <w:u w:val="single"/>
          <w:shd w:fill="FFFF00" w:val="clear"/>
        </w:rPr>
      </w:pPr>
    </w:p>
    <w:p>
      <w:pPr>
        <w:spacing w:before="0" w:after="0" w:line="480"/>
        <w:ind w:right="0" w:left="0" w:firstLine="0"/>
        <w:jc w:val="both"/>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b/>
          <w:color w:val="000000"/>
          <w:spacing w:val="0"/>
          <w:position w:val="0"/>
          <w:sz w:val="24"/>
          <w:shd w:fill="auto" w:val="clear"/>
        </w:rPr>
        <w:t xml:space="preserve">Figure S2.</w:t>
      </w:r>
      <w:r>
        <w:rPr>
          <w:rFonts w:ascii="Times New Roman" w:hAnsi="Times New Roman" w:cs="Times New Roman" w:eastAsia="Times New Roman"/>
          <w:color w:val="000000"/>
          <w:spacing w:val="0"/>
          <w:position w:val="0"/>
          <w:sz w:val="24"/>
          <w:shd w:fill="auto" w:val="clear"/>
        </w:rPr>
        <w:t xml:space="preserve"> Funnel plots of SNPs used in MR analyses. Each point represents the causal estimate from an individual SNP plotted against its precision (inverse of the standard error). The vertical line indicates the overall causal estimate derived from the IVW method. Symmetry of the plots suggests no strong evidence of directional pleiotropy. Panels A</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C show results for gout, and Panels D</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F for SUA, with exposures of RA, SNRA, and SPRA, respectively. </w:t>
      </w:r>
      <w:r>
        <w:rPr>
          <w:rFonts w:ascii="Times New Roman" w:hAnsi="Times New Roman" w:cs="Times New Roman" w:eastAsia="Times New Roman"/>
          <w:b/>
          <w:color w:val="000000"/>
          <w:spacing w:val="0"/>
          <w:position w:val="0"/>
          <w:sz w:val="24"/>
          <w:shd w:fill="auto" w:val="clear"/>
        </w:rPr>
        <w:t xml:space="preserve">Abbreviations:</w:t>
      </w:r>
      <w:r>
        <w:rPr>
          <w:rFonts w:ascii="Times New Roman" w:hAnsi="Times New Roman" w:cs="Times New Roman" w:eastAsia="Times New Roman"/>
          <w:color w:val="000000"/>
          <w:spacing w:val="0"/>
          <w:position w:val="0"/>
          <w:sz w:val="24"/>
          <w:shd w:fill="auto" w:val="clear"/>
        </w:rPr>
        <w:t xml:space="preserve"> IVW, Inverse-Variance Weighted; MR, Mendelian Randomization; RA, Rheumatoid Arthritis; SNRA, Seronegative RA; SPRA, Seropositive RA; SNP, Single Nucleotide Polymorphism; SUA, Serum Urate.</w:t>
      </w:r>
    </w:p>
    <w:p>
      <w:pPr>
        <w:spacing w:before="0" w:after="0" w:line="480"/>
        <w:ind w:right="0" w:left="0" w:firstLine="0"/>
        <w:jc w:val="both"/>
        <w:rPr>
          <w:rFonts w:ascii="Times New Roman" w:hAnsi="Times New Roman" w:cs="Times New Roman" w:eastAsia="Times New Roman"/>
          <w:color w:val="000000"/>
          <w:spacing w:val="0"/>
          <w:position w:val="0"/>
          <w:sz w:val="24"/>
          <w:u w:val="single"/>
          <w:shd w:fill="FFFF00" w:val="clear"/>
        </w:rPr>
      </w:pPr>
    </w:p>
    <w:p>
      <w:pPr>
        <w:spacing w:before="0" w:after="0" w:line="240"/>
        <w:ind w:right="0" w:left="0" w:firstLine="0"/>
        <w:jc w:val="both"/>
        <w:rPr>
          <w:rFonts w:ascii="Times New Roman" w:hAnsi="Times New Roman" w:cs="Times New Roman" w:eastAsia="Times New Roman"/>
          <w:color w:val="000000"/>
          <w:spacing w:val="0"/>
          <w:position w:val="0"/>
          <w:sz w:val="21"/>
          <w:u w:val="single"/>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u w:val="single"/>
          <w:shd w:fill="FFFF00" w:val="clear"/>
        </w:rPr>
      </w:pPr>
      <w:r>
        <w:object w:dxaOrig="8269" w:dyaOrig="4314">
          <v:rect xmlns:o="urn:schemas-microsoft-com:office:office" xmlns:v="urn:schemas-microsoft-com:vml" id="rectole0000000002" style="width:413.450000pt;height:215.700000pt" o:preferrelative="t" o:ole="">
            <o:lock v:ext="edit"/>
            <v:imagedata xmlns:r="http://schemas.openxmlformats.org/officeDocument/2006/relationships" r:id="docRId5" o:title=""/>
          </v:rect>
          <o:OLEObject xmlns:r="http://schemas.openxmlformats.org/officeDocument/2006/relationships" xmlns:o="urn:schemas-microsoft-com:office:office" Type="Embed" ProgID="StaticMetafile" DrawAspect="Content" ObjectID="0000000002" ShapeID="rectole0000000002" r:id="docRId4"/>
        </w:object>
      </w:r>
    </w:p>
    <w:p>
      <w:pPr>
        <w:spacing w:before="0" w:after="0" w:line="480"/>
        <w:ind w:right="0" w:left="0" w:firstLine="0"/>
        <w:jc w:val="both"/>
        <w:rPr>
          <w:rFonts w:ascii="Times New Roman" w:hAnsi="Times New Roman" w:cs="Times New Roman" w:eastAsia="Times New Roman"/>
          <w:color w:val="000000"/>
          <w:spacing w:val="0"/>
          <w:position w:val="0"/>
          <w:sz w:val="21"/>
          <w:shd w:fill="FFFF00" w:val="clear"/>
        </w:rPr>
      </w:pPr>
      <w:r>
        <w:rPr>
          <w:rFonts w:ascii="Times New Roman" w:hAnsi="Times New Roman" w:cs="Times New Roman" w:eastAsia="Times New Roman"/>
          <w:b/>
          <w:color w:val="000000"/>
          <w:spacing w:val="0"/>
          <w:position w:val="0"/>
          <w:sz w:val="24"/>
          <w:shd w:fill="auto" w:val="clear"/>
        </w:rPr>
        <w:t xml:space="preserve">Figure S3. </w:t>
      </w:r>
      <w:r>
        <w:rPr>
          <w:rFonts w:ascii="Times New Roman" w:hAnsi="Times New Roman" w:cs="Times New Roman" w:eastAsia="Times New Roman"/>
          <w:color w:val="000000"/>
          <w:spacing w:val="0"/>
          <w:position w:val="0"/>
          <w:sz w:val="24"/>
          <w:shd w:fill="auto" w:val="clear"/>
        </w:rPr>
        <w:t xml:space="preserve">Single-SNP forest plots of MR analyses. Each point represents the causal estimate from an individual SNP with horizontal lines indicating 95% CIs. The vertical red dashed line indicates the null (</w:t>
      </w:r>
      <w:r>
        <w:rPr>
          <w:rFonts w:ascii="Times New Roman" w:hAnsi="Times New Roman" w:cs="Times New Roman" w:eastAsia="Times New Roman"/>
          <w:i/>
          <w:color w:val="000000"/>
          <w:spacing w:val="0"/>
          <w:position w:val="0"/>
          <w:sz w:val="24"/>
          <w:shd w:fill="auto" w:val="clear"/>
        </w:rPr>
        <w:t xml:space="preserve">β</w:t>
      </w:r>
      <w:r>
        <w:rPr>
          <w:rFonts w:ascii="Times New Roman" w:hAnsi="Times New Roman" w:cs="Times New Roman" w:eastAsia="Times New Roman"/>
          <w:color w:val="000000"/>
          <w:spacing w:val="0"/>
          <w:position w:val="0"/>
          <w:sz w:val="24"/>
          <w:shd w:fill="auto" w:val="clear"/>
        </w:rPr>
        <w:t xml:space="preserve"> = 0). Panels A</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C show results for gout, and Panels D</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F for SUA, with exposures of RA, SNRA, and SPRA, respectively. </w:t>
      </w:r>
      <w:r>
        <w:rPr>
          <w:rFonts w:ascii="Times New Roman" w:hAnsi="Times New Roman" w:cs="Times New Roman" w:eastAsia="Times New Roman"/>
          <w:b/>
          <w:color w:val="000000"/>
          <w:spacing w:val="0"/>
          <w:position w:val="0"/>
          <w:sz w:val="24"/>
          <w:shd w:fill="auto" w:val="clear"/>
        </w:rPr>
        <w:t xml:space="preserve">Abbreviations:</w: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β, Regression Coefficient; CI, Confidence Interval; MR, Mendelian Randomization; RA, Rheumatoid Arthritis; SNRA, Seronegative RA; SPRA, Seropositive RA; SNP, Single Nucleotide Polymorphism; SUA, Serum Urate.</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0.wmf" Id="docRId1" Type="http://schemas.openxmlformats.org/officeDocument/2006/relationships/image" /><Relationship Target="media/image1.wmf" Id="docRId3" Type="http://schemas.openxmlformats.org/officeDocument/2006/relationships/image" /><Relationship Target="media/image2.wmf" Id="docRId5" Type="http://schemas.openxmlformats.org/officeDocument/2006/relationships/image" /><Relationship Target="styles.xml" Id="docRId7" Type="http://schemas.openxmlformats.org/officeDocument/2006/relationships/styles" /><Relationship Target="embeddings/oleObject0.bin" Id="docRId0" Type="http://schemas.openxmlformats.org/officeDocument/2006/relationships/oleObject" /><Relationship Target="embeddings/oleObject1.bin" Id="docRId2" Type="http://schemas.openxmlformats.org/officeDocument/2006/relationships/oleObject" /><Relationship Target="embeddings/oleObject2.bin" Id="docRId4" Type="http://schemas.openxmlformats.org/officeDocument/2006/relationships/oleObject" /><Relationship Target="numbering.xml" Id="docRId6" Type="http://schemas.openxmlformats.org/officeDocument/2006/relationships/numbering" /></Relationships>
</file>