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7A8F" w14:textId="77777777" w:rsidR="005C4C6C" w:rsidRDefault="00000000">
      <w:pPr>
        <w:spacing w:line="480" w:lineRule="auto"/>
        <w:jc w:val="center"/>
        <w:rPr>
          <w:rFonts w:ascii="Times New Roman" w:hAnsi="Times New Roman" w:cs="Times New Roman"/>
          <w:b/>
          <w:bCs/>
          <w:sz w:val="24"/>
        </w:rPr>
      </w:pPr>
      <w:r>
        <w:rPr>
          <w:rFonts w:ascii="Times New Roman" w:hAnsi="Times New Roman" w:cs="Times New Roman" w:hint="eastAsia"/>
          <w:b/>
          <w:bCs/>
          <w:sz w:val="24"/>
        </w:rPr>
        <w:t>Supplementary Materials</w:t>
      </w:r>
    </w:p>
    <w:p w14:paraId="30147993" w14:textId="77777777" w:rsidR="005C4C6C" w:rsidRDefault="00000000">
      <w:pPr>
        <w:spacing w:line="480" w:lineRule="auto"/>
        <w:rPr>
          <w:rFonts w:ascii="Times New Roman" w:hAnsi="Times New Roman" w:cs="Times New Roman"/>
          <w:b/>
          <w:bCs/>
          <w:sz w:val="24"/>
        </w:rPr>
      </w:pPr>
      <w:r>
        <w:rPr>
          <w:rFonts w:ascii="Times New Roman" w:hAnsi="Times New Roman" w:cs="Times New Roman" w:hint="eastAsia"/>
          <w:b/>
          <w:bCs/>
          <w:sz w:val="24"/>
        </w:rPr>
        <w:t xml:space="preserve">Supplemental </w:t>
      </w:r>
      <w:r>
        <w:rPr>
          <w:rFonts w:ascii="Times New Roman" w:hAnsi="Times New Roman" w:cs="Times New Roman"/>
          <w:b/>
          <w:bCs/>
          <w:sz w:val="24"/>
        </w:rPr>
        <w:t>Methods</w:t>
      </w:r>
    </w:p>
    <w:p w14:paraId="1C88DB0A" w14:textId="77777777" w:rsidR="005C4C6C" w:rsidRDefault="00000000">
      <w:pPr>
        <w:spacing w:line="480" w:lineRule="auto"/>
        <w:rPr>
          <w:rFonts w:ascii="Times New Roman" w:hAnsi="Times New Roman" w:cs="Times New Roman"/>
          <w:b/>
          <w:bCs/>
          <w:sz w:val="24"/>
        </w:rPr>
      </w:pPr>
      <w:r>
        <w:rPr>
          <w:rFonts w:ascii="Times New Roman" w:hAnsi="Times New Roman" w:cs="Times New Roman"/>
          <w:b/>
          <w:bCs/>
          <w:sz w:val="24"/>
        </w:rPr>
        <w:t>Study Design and Participants</w:t>
      </w:r>
    </w:p>
    <w:p w14:paraId="7ACB7686" w14:textId="77777777" w:rsidR="005C4C6C"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Structured Medication Adherence Support Protocol</w:t>
      </w:r>
    </w:p>
    <w:p w14:paraId="6A8EF919"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Objective: To ensure consistent and correct intake of the study medication (alkalinizing agent) and to promote timely attendance at all scheduled follow-up visits.</w:t>
      </w:r>
    </w:p>
    <w:p w14:paraId="09F72F31"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Procedures:</w:t>
      </w:r>
    </w:p>
    <w:p w14:paraId="6ADA2EFC"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sz w:val="24"/>
          <w:szCs w:val="24"/>
        </w:rPr>
        <w:t>Dedicated Communication Groups: Upon enrollment, participants were assigned to dedicated, study-specific WeChat groups based on their randomized intervention arm (Alkalization Group or Control Group). These groups were managed by the research coordinator.</w:t>
      </w:r>
    </w:p>
    <w:p w14:paraId="74E8C75A"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sz w:val="24"/>
          <w:szCs w:val="24"/>
        </w:rPr>
        <w:t>Standardized Digital Reminders:</w:t>
      </w:r>
    </w:p>
    <w:p w14:paraId="68A5BA38"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2.1 </w:t>
      </w:r>
      <w:r>
        <w:rPr>
          <w:rFonts w:ascii="Times New Roman" w:hAnsi="Times New Roman" w:cs="Times New Roman"/>
          <w:sz w:val="24"/>
          <w:szCs w:val="24"/>
        </w:rPr>
        <w:t>Medication Reminders: Standardized reminder messages were posted within the respective WeChat groups 2-3 times per week to reinforce daily medication intake.</w:t>
      </w:r>
    </w:p>
    <w:p w14:paraId="7C190812"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2.2 </w:t>
      </w:r>
      <w:r>
        <w:rPr>
          <w:rFonts w:ascii="Times New Roman" w:hAnsi="Times New Roman" w:cs="Times New Roman"/>
          <w:sz w:val="24"/>
          <w:szCs w:val="24"/>
        </w:rPr>
        <w:t>Visit Reminders: Notifications for upcoming scheduled clinic visits (Weeks 4, 8, 12) were sent 3 days and again on the day prior to the appointment. These reminders included the visit time, location, and any specific preparation instructions (e.g., bringing a first-morning urine sample).</w:t>
      </w:r>
    </w:p>
    <w:p w14:paraId="67579CD6"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Pr>
          <w:rFonts w:ascii="Times New Roman" w:hAnsi="Times New Roman" w:cs="Times New Roman"/>
          <w:sz w:val="24"/>
          <w:szCs w:val="24"/>
        </w:rPr>
        <w:t>Ongoing Health Education: The groups were also used to periodically share concise, evidence-based health information relevant to gout management (e.g., importance of hydration, low-purine diet principles, alcohol moderation). This reinforced the overall study lifestyle guidance and supported a context for good adherence.</w:t>
      </w:r>
    </w:p>
    <w:p w14:paraId="4490C64D"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4. </w:t>
      </w:r>
      <w:r>
        <w:rPr>
          <w:rFonts w:ascii="Times New Roman" w:hAnsi="Times New Roman" w:cs="Times New Roman"/>
          <w:sz w:val="24"/>
          <w:szCs w:val="24"/>
        </w:rPr>
        <w:t>Direct Q&amp;A Channel: Participants were encouraged to use the group chat to ask questions regarding medication, symptoms, or study procedures. The research coordinator provided responses within 24 hours.</w:t>
      </w:r>
    </w:p>
    <w:p w14:paraId="0481FF81" w14:textId="77777777" w:rsidR="005C4C6C" w:rsidRDefault="005C4C6C">
      <w:pPr>
        <w:spacing w:line="360" w:lineRule="auto"/>
        <w:rPr>
          <w:rFonts w:ascii="Times New Roman" w:hAnsi="Times New Roman" w:cs="Times New Roman"/>
          <w:sz w:val="24"/>
          <w:szCs w:val="24"/>
        </w:rPr>
      </w:pPr>
    </w:p>
    <w:p w14:paraId="05589D7B" w14:textId="77777777" w:rsidR="005C4C6C" w:rsidRDefault="00000000">
      <w:pPr>
        <w:spacing w:line="360" w:lineRule="auto"/>
        <w:rPr>
          <w:rFonts w:ascii="Times New Roman" w:hAnsi="Times New Roman" w:cs="Times New Roman"/>
          <w:b/>
          <w:bCs/>
          <w:sz w:val="24"/>
          <w:szCs w:val="24"/>
        </w:rPr>
      </w:pPr>
      <w:r>
        <w:rPr>
          <w:rFonts w:ascii="Times New Roman" w:hAnsi="Times New Roman" w:cs="Times New Roman"/>
          <w:b/>
          <w:bCs/>
          <w:sz w:val="24"/>
          <w:szCs w:val="24"/>
        </w:rPr>
        <w:t>Standardized Dietary Coordination and Monitoring Protocol</w:t>
      </w:r>
    </w:p>
    <w:p w14:paraId="7869F897"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Objective: To minimize potential confounding from inter-individual dietary variability on urinary pH and serum urate outcomes, and to promote dietary balance between the two study groups.</w:t>
      </w:r>
    </w:p>
    <w:p w14:paraId="0C3B93ED"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Procedures:</w:t>
      </w:r>
    </w:p>
    <w:p w14:paraId="40F13036"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sz w:val="24"/>
          <w:szCs w:val="24"/>
        </w:rPr>
        <w:t>Baseline Standardized Education: At the enrollment visit, all participants received a one-on-one, ~20-minute lifestyle education session from a single research clinician. The session was based on Chinese gout management guidelines, focusing on the principles of a low-purine diet. Participants were also provided with a printed educational handout for reference.</w:t>
      </w:r>
    </w:p>
    <w:p w14:paraId="6E3A6F77"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sz w:val="24"/>
          <w:szCs w:val="24"/>
        </w:rPr>
        <w:t>Continuous Reinforcement: Key points from the initial dietary education were summarized and reinforced through brief messages or infographics posted in the dedicated WeChat groups (as per S1.1) every two weeks throughout the trial period.</w:t>
      </w:r>
    </w:p>
    <w:p w14:paraId="37A96DE8"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Pr>
          <w:rFonts w:ascii="Times New Roman" w:hAnsi="Times New Roman" w:cs="Times New Roman"/>
          <w:sz w:val="24"/>
          <w:szCs w:val="24"/>
        </w:rPr>
        <w:t>Structured Monitoring at Follow-ups: During each follow-up clinic visit (Weeks 4, 8, 12), participants completed a structured interview regarding their lifestyle over the preceding month. This included questions on the frequency of high-purine food intake (e.g., organ meats, specific seafood, concentrated broths), alcohol consumption, and changes in body weight. The interview data was used to provide brief, individualized feedback and encouragement to maintain the study's dietary guidelines.</w:t>
      </w:r>
    </w:p>
    <w:p w14:paraId="08B8403E" w14:textId="77777777" w:rsidR="005C4C6C" w:rsidRDefault="00000000">
      <w:pPr>
        <w:spacing w:line="360" w:lineRule="auto"/>
        <w:rPr>
          <w:rFonts w:ascii="Times New Roman" w:hAnsi="Times New Roman" w:cs="Times New Roman"/>
          <w:sz w:val="24"/>
          <w:szCs w:val="24"/>
        </w:rPr>
      </w:pPr>
      <w:r>
        <w:rPr>
          <w:rFonts w:ascii="Times New Roman" w:hAnsi="Times New Roman" w:cs="Times New Roman"/>
          <w:sz w:val="24"/>
          <w:szCs w:val="24"/>
        </w:rPr>
        <w:t>Rationale for Confounding Control: This combined strategy of standardized baseline education, continuous digital reinforcement, and structured periodic monitoring was designed to align the foundational dietary habits of participants in both groups. By aiming to balance the dietary influence on urinary pH between groups, the observed inter-group differences in outcomes (serum urate and urine pH) can be more reliably attributed to the study intervention rather than to systematic differences in diet.</w:t>
      </w:r>
    </w:p>
    <w:p w14:paraId="688B4FB0" w14:textId="77777777" w:rsidR="005C4C6C" w:rsidRDefault="005C4C6C">
      <w:pPr>
        <w:spacing w:line="360" w:lineRule="auto"/>
        <w:rPr>
          <w:rFonts w:ascii="Times New Roman" w:hAnsi="Times New Roman" w:cs="Times New Roman"/>
          <w:sz w:val="24"/>
          <w:szCs w:val="24"/>
        </w:rPr>
      </w:pPr>
    </w:p>
    <w:p w14:paraId="470C85CC" w14:textId="77777777" w:rsidR="005C4C6C" w:rsidRDefault="00000000">
      <w:pPr>
        <w:spacing w:line="360" w:lineRule="auto"/>
        <w:rPr>
          <w:rFonts w:ascii="Times New Roman" w:hAnsi="Times New Roman" w:cs="Times New Roman"/>
          <w:b/>
          <w:bCs/>
          <w:sz w:val="24"/>
          <w:szCs w:val="24"/>
        </w:rPr>
      </w:pPr>
      <w:r>
        <w:rPr>
          <w:rFonts w:ascii="Times New Roman" w:eastAsia="宋体" w:hAnsi="Times New Roman" w:cs="Times New Roman"/>
          <w:b/>
          <w:bCs/>
          <w:sz w:val="24"/>
          <w:szCs w:val="24"/>
        </w:rPr>
        <w:t>Imaging Assessment Protocol and Definitions</w:t>
      </w:r>
    </w:p>
    <w:p w14:paraId="5440D7E6" w14:textId="3000A519" w:rsidR="005C4C6C" w:rsidRDefault="00000000">
      <w:pPr>
        <w:spacing w:line="360" w:lineRule="auto"/>
        <w:ind w:firstLineChars="100" w:firstLine="240"/>
        <w:rPr>
          <w:rFonts w:ascii="Times New Roman" w:hAnsi="Times New Roman" w:cs="Times New Roman"/>
          <w:sz w:val="24"/>
        </w:rPr>
      </w:pPr>
      <w:r>
        <w:rPr>
          <w:rFonts w:ascii="Times New Roman" w:eastAsia="宋体" w:hAnsi="Times New Roman" w:cs="Times New Roman"/>
          <w:sz w:val="24"/>
          <w:szCs w:val="24"/>
        </w:rPr>
        <w:t xml:space="preserve">Dual energy computed tomography (DECT) of the joints affected by gout </w:t>
      </w:r>
      <w:bookmarkStart w:id="0" w:name="_Hlk220311197"/>
      <w:r>
        <w:rPr>
          <w:rFonts w:ascii="Times New Roman" w:eastAsia="宋体" w:hAnsi="Times New Roman" w:cs="Times New Roman"/>
          <w:sz w:val="24"/>
          <w:szCs w:val="24"/>
        </w:rPr>
        <w:t xml:space="preserve">that refers to joints that have been impacted by gout, meaning those with a history of gout flares </w:t>
      </w:r>
      <w:r w:rsidR="00B12D72">
        <w:rPr>
          <w:rFonts w:ascii="Times New Roman" w:eastAsia="宋体" w:hAnsi="Times New Roman" w:cs="Times New Roman" w:hint="eastAsia"/>
          <w:sz w:val="24"/>
          <w:szCs w:val="24"/>
        </w:rPr>
        <w:t>[</w:t>
      </w:r>
      <w:r w:rsidR="00B12D72" w:rsidRPr="00B12D72">
        <w:rPr>
          <w:rFonts w:ascii="Times New Roman" w:eastAsia="宋体" w:hAnsi="Times New Roman" w:cs="Times New Roman" w:hint="eastAsia"/>
          <w:color w:val="0000FF"/>
          <w:sz w:val="24"/>
          <w:szCs w:val="24"/>
        </w:rPr>
        <w:t>1, 2</w:t>
      </w:r>
      <w:r w:rsidR="00B12D72">
        <w:rPr>
          <w:rFonts w:ascii="Times New Roman" w:eastAsia="宋体" w:hAnsi="Times New Roman" w:cs="Times New Roman" w:hint="eastAsia"/>
          <w:sz w:val="24"/>
          <w:szCs w:val="24"/>
        </w:rPr>
        <w:t>]</w:t>
      </w:r>
      <w:bookmarkEnd w:id="0"/>
      <w:r>
        <w:rPr>
          <w:rFonts w:ascii="Times New Roman" w:eastAsia="宋体" w:hAnsi="Times New Roman" w:cs="Times New Roman"/>
          <w:sz w:val="24"/>
          <w:szCs w:val="24"/>
        </w:rPr>
        <w:t>, ultrasonography (US) of the kidneys and affected joints were collected at baseline and week 12.</w:t>
      </w:r>
      <w:r>
        <w:rPr>
          <w:rFonts w:ascii="Times New Roman" w:eastAsia="宋体" w:hAnsi="Times New Roman" w:cs="Times New Roman" w:hint="eastAsia"/>
          <w:sz w:val="24"/>
          <w:szCs w:val="24"/>
        </w:rPr>
        <w:t xml:space="preserve"> </w:t>
      </w:r>
      <w:r>
        <w:rPr>
          <w:rFonts w:ascii="Times New Roman" w:hAnsi="Times New Roman" w:cs="Times New Roman"/>
          <w:sz w:val="24"/>
        </w:rPr>
        <w:t xml:space="preserve">US examination was performed using an ALOKA 70 machine </w:t>
      </w:r>
      <w:r>
        <w:rPr>
          <w:rFonts w:ascii="Times New Roman" w:hAnsi="Times New Roman" w:cs="Times New Roman"/>
          <w:sz w:val="24"/>
        </w:rPr>
        <w:lastRenderedPageBreak/>
        <w:t>(HITACHI, Tokyo, Japan) equipped with a multi-frequency linear transducer (9-13 MHz). The first metatarsophalangeal (MTP) joints, ankles, knees, elbows, wrists, and metacarpals were scanned by sonographers who was trained for musculoskeletal US examination. According to the OMERACT ultrasound guidelines</w:t>
      </w:r>
      <w:r>
        <w:rPr>
          <w:rFonts w:ascii="Times New Roman" w:hAnsi="Times New Roman" w:cs="Times New Roman" w:hint="eastAsia"/>
          <w:sz w:val="24"/>
        </w:rPr>
        <w:t xml:space="preserve"> [</w:t>
      </w:r>
      <w:r w:rsidR="001D229C">
        <w:rPr>
          <w:rFonts w:ascii="Times New Roman" w:hAnsi="Times New Roman" w:cs="Times New Roman" w:hint="eastAsia"/>
          <w:color w:val="0000FF"/>
          <w:sz w:val="24"/>
        </w:rPr>
        <w:t>3</w:t>
      </w:r>
      <w:r>
        <w:rPr>
          <w:rFonts w:ascii="Times New Roman" w:hAnsi="Times New Roman" w:cs="Times New Roman" w:hint="eastAsia"/>
          <w:sz w:val="24"/>
        </w:rPr>
        <w:t>]</w:t>
      </w:r>
      <w:r>
        <w:rPr>
          <w:rFonts w:ascii="Times New Roman" w:hAnsi="Times New Roman" w:cs="Times New Roman"/>
          <w:sz w:val="24"/>
        </w:rPr>
        <w:t>,</w:t>
      </w:r>
      <w:r>
        <w:rPr>
          <w:rFonts w:ascii="Times New Roman" w:hAnsi="Times New Roman" w:cs="Times New Roman" w:hint="eastAsia"/>
          <w:sz w:val="24"/>
        </w:rPr>
        <w:t xml:space="preserve"> </w:t>
      </w:r>
      <w:r>
        <w:rPr>
          <w:rFonts w:ascii="Times New Roman" w:hAnsi="Times New Roman" w:cs="Times New Roman"/>
          <w:sz w:val="24"/>
        </w:rPr>
        <w:t xml:space="preserve">the representative US </w:t>
      </w:r>
      <w:r>
        <w:rPr>
          <w:rFonts w:ascii="Times New Roman" w:eastAsia="Times New Roman" w:hAnsi="Times New Roman" w:cs="Times New Roman"/>
          <w:sz w:val="24"/>
        </w:rPr>
        <w:t>images of each individual elementary lesion presented in the longitudinal and transverse scans from each joint were collected</w:t>
      </w:r>
      <w:r>
        <w:rPr>
          <w:rFonts w:ascii="Times New Roman" w:eastAsia="宋体" w:hAnsi="Times New Roman" w:cs="Times New Roman"/>
          <w:sz w:val="24"/>
        </w:rPr>
        <w:t>, and</w:t>
      </w:r>
      <w:r>
        <w:rPr>
          <w:rFonts w:ascii="Times New Roman" w:eastAsia="Times New Roman" w:hAnsi="Times New Roman" w:cs="Times New Roman"/>
          <w:sz w:val="24"/>
        </w:rPr>
        <w:t xml:space="preserve"> to observe the changes of joint tophi, the</w:t>
      </w:r>
      <w:r>
        <w:rPr>
          <w:rFonts w:ascii="Times New Roman" w:eastAsia="宋体" w:hAnsi="Times New Roman" w:cs="Times New Roman"/>
          <w:sz w:val="24"/>
        </w:rPr>
        <w:t xml:space="preserve"> </w:t>
      </w:r>
      <w:r>
        <w:rPr>
          <w:rFonts w:ascii="Times New Roman" w:eastAsia="Times New Roman" w:hAnsi="Times New Roman" w:cs="Times New Roman"/>
          <w:sz w:val="24"/>
        </w:rPr>
        <w:t xml:space="preserve">maximum diameter of tophi </w:t>
      </w:r>
      <w:r>
        <w:rPr>
          <w:rFonts w:ascii="Times New Roman" w:eastAsia="宋体" w:hAnsi="Times New Roman" w:cs="Times New Roman"/>
          <w:sz w:val="24"/>
        </w:rPr>
        <w:t>was</w:t>
      </w:r>
      <w:r>
        <w:rPr>
          <w:rFonts w:ascii="Times New Roman" w:eastAsia="Times New Roman" w:hAnsi="Times New Roman" w:cs="Times New Roman"/>
          <w:sz w:val="24"/>
        </w:rPr>
        <w:t xml:space="preserve"> recorded. For DECT, all symptomatic joints were scanned on a dual x-ray tube 128-detector-row scanner (</w:t>
      </w:r>
      <w:proofErr w:type="spellStart"/>
      <w:r>
        <w:rPr>
          <w:rFonts w:ascii="Times New Roman" w:eastAsia="Times New Roman" w:hAnsi="Times New Roman" w:cs="Times New Roman"/>
          <w:sz w:val="24"/>
        </w:rPr>
        <w:t>Somatom</w:t>
      </w:r>
      <w:proofErr w:type="spellEnd"/>
      <w:r>
        <w:rPr>
          <w:rFonts w:ascii="Times New Roman" w:eastAsia="Times New Roman" w:hAnsi="Times New Roman" w:cs="Times New Roman"/>
          <w:sz w:val="24"/>
        </w:rPr>
        <w:t xml:space="preserve"> Definition Flash, Siemens </w:t>
      </w:r>
      <w:proofErr w:type="spellStart"/>
      <w:r>
        <w:rPr>
          <w:rFonts w:ascii="Times New Roman" w:eastAsia="Times New Roman" w:hAnsi="Times New Roman" w:cs="Times New Roman"/>
          <w:sz w:val="24"/>
        </w:rPr>
        <w:t>Healthineers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Forchheim</w:t>
      </w:r>
      <w:proofErr w:type="spellEnd"/>
      <w:r>
        <w:rPr>
          <w:rFonts w:ascii="Times New Roman" w:eastAsia="Times New Roman" w:hAnsi="Times New Roman" w:cs="Times New Roman"/>
          <w:sz w:val="24"/>
        </w:rPr>
        <w:t xml:space="preserve">, Germany), with tube A 140kVp/55mAs and tube B 80kVp/255mAs, acquisition at 128×0.6mm, reconstruction at 0.6mm. Urate volumes were automatically calculated by DECT </w:t>
      </w:r>
      <w:proofErr w:type="spellStart"/>
      <w:r>
        <w:rPr>
          <w:rFonts w:ascii="Times New Roman" w:eastAsia="Times New Roman" w:hAnsi="Times New Roman" w:cs="Times New Roman"/>
          <w:sz w:val="24"/>
        </w:rPr>
        <w:t>syngo</w:t>
      </w:r>
      <w:proofErr w:type="spellEnd"/>
      <w:r>
        <w:rPr>
          <w:rFonts w:ascii="Times New Roman" w:eastAsia="Times New Roman" w:hAnsi="Times New Roman" w:cs="Times New Roman"/>
          <w:sz w:val="24"/>
        </w:rPr>
        <w:t>.</w:t>
      </w:r>
      <w:r>
        <w:rPr>
          <w:rFonts w:ascii="Times New Roman" w:hAnsi="Times New Roman" w:cs="Times New Roman"/>
          <w:sz w:val="24"/>
        </w:rPr>
        <w:t xml:space="preserve"> </w:t>
      </w:r>
      <w:r>
        <w:rPr>
          <w:rFonts w:ascii="Times New Roman" w:eastAsia="Times New Roman" w:hAnsi="Times New Roman" w:cs="Times New Roman"/>
          <w:sz w:val="24"/>
        </w:rPr>
        <w:t xml:space="preserve">via Gout program (Siemens </w:t>
      </w:r>
      <w:proofErr w:type="spellStart"/>
      <w:r>
        <w:rPr>
          <w:rFonts w:ascii="Times New Roman" w:eastAsia="Times New Roman" w:hAnsi="Times New Roman" w:cs="Times New Roman"/>
          <w:sz w:val="24"/>
        </w:rPr>
        <w:t>Healthineers</w:t>
      </w:r>
      <w:proofErr w:type="spellEnd"/>
      <w:r>
        <w:rPr>
          <w:rFonts w:ascii="Times New Roman" w:eastAsia="Times New Roman" w:hAnsi="Times New Roman" w:cs="Times New Roman"/>
          <w:sz w:val="24"/>
        </w:rPr>
        <w:t>, Germany). Imaging assessors</w:t>
      </w:r>
      <w:r>
        <w:rPr>
          <w:rFonts w:ascii="Times New Roman" w:eastAsia="宋体" w:hAnsi="Times New Roman" w:cs="Times New Roman"/>
          <w:sz w:val="24"/>
        </w:rPr>
        <w:t xml:space="preserve"> were blinded to the alkalization group</w:t>
      </w:r>
      <w:r>
        <w:rPr>
          <w:rFonts w:ascii="Times New Roman" w:eastAsia="Times New Roman" w:hAnsi="Times New Roman" w:cs="Times New Roman"/>
          <w:sz w:val="24"/>
        </w:rPr>
        <w:t>.</w:t>
      </w:r>
    </w:p>
    <w:p w14:paraId="4A05E8C3" w14:textId="77777777" w:rsidR="005C4C6C" w:rsidRDefault="005C4C6C">
      <w:pPr>
        <w:spacing w:line="360" w:lineRule="auto"/>
        <w:ind w:firstLineChars="100" w:firstLine="210"/>
      </w:pPr>
    </w:p>
    <w:p w14:paraId="3D910BCD" w14:textId="77777777" w:rsidR="005C4C6C" w:rsidRDefault="00000000">
      <w:pPr>
        <w:spacing w:line="480" w:lineRule="auto"/>
        <w:rPr>
          <w:rFonts w:ascii="Times New Roman" w:hAnsi="Times New Roman" w:cs="Times New Roman"/>
          <w:b/>
          <w:bCs/>
          <w:szCs w:val="21"/>
        </w:rPr>
      </w:pPr>
      <w:r>
        <w:rPr>
          <w:rFonts w:ascii="Times New Roman" w:hAnsi="Times New Roman" w:cs="Times New Roman" w:hint="eastAsia"/>
          <w:b/>
          <w:bCs/>
          <w:sz w:val="24"/>
        </w:rPr>
        <w:t>Supplemental Figure</w:t>
      </w:r>
    </w:p>
    <w:p w14:paraId="30F79744" w14:textId="77777777" w:rsidR="005C4C6C" w:rsidRDefault="00000000">
      <w:pPr>
        <w:spacing w:line="360" w:lineRule="auto"/>
        <w:jc w:val="left"/>
        <w:rPr>
          <w:rFonts w:ascii="Times New Roman" w:hAnsi="Times New Roman" w:cs="Times New Roman"/>
          <w:color w:val="131413"/>
          <w:kern w:val="0"/>
          <w:szCs w:val="21"/>
        </w:rPr>
      </w:pPr>
      <w:r>
        <w:rPr>
          <w:rFonts w:ascii="Times New Roman" w:hAnsi="Times New Roman" w:cs="Times New Roman" w:hint="eastAsia"/>
          <w:b/>
          <w:bCs/>
          <w:sz w:val="24"/>
        </w:rPr>
        <w:t>Supplemental</w:t>
      </w:r>
      <w:r>
        <w:rPr>
          <w:rFonts w:ascii="Times New Roman" w:hAnsi="Times New Roman" w:cs="Times New Roman"/>
          <w:b/>
          <w:bCs/>
          <w:szCs w:val="21"/>
        </w:rPr>
        <w:t xml:space="preserve"> Figure </w:t>
      </w:r>
      <w:r>
        <w:rPr>
          <w:rFonts w:ascii="Times New Roman" w:hAnsi="Times New Roman" w:cs="Times New Roman" w:hint="eastAsia"/>
          <w:b/>
          <w:bCs/>
          <w:szCs w:val="21"/>
        </w:rPr>
        <w:t>1</w:t>
      </w:r>
      <w:r>
        <w:rPr>
          <w:rFonts w:ascii="Times New Roman" w:hAnsi="Times New Roman" w:cs="Times New Roman"/>
          <w:b/>
          <w:bCs/>
          <w:szCs w:val="21"/>
        </w:rPr>
        <w:t xml:space="preserve">. Efficacy of alkalization treatment </w:t>
      </w:r>
      <w:r>
        <w:rPr>
          <w:rFonts w:ascii="Times New Roman" w:hAnsi="Times New Roman" w:cs="Times New Roman"/>
          <w:b/>
          <w:bCs/>
          <w:color w:val="131413"/>
          <w:kern w:val="0"/>
          <w:szCs w:val="21"/>
        </w:rPr>
        <w:t xml:space="preserve">in </w:t>
      </w:r>
      <w:r>
        <w:rPr>
          <w:rFonts w:ascii="Times New Roman" w:hAnsi="Times New Roman" w:cs="Times New Roman"/>
          <w:b/>
          <w:bCs/>
          <w:szCs w:val="21"/>
        </w:rPr>
        <w:t>people with gout and</w:t>
      </w:r>
      <w:r>
        <w:rPr>
          <w:rFonts w:ascii="Times New Roman" w:hAnsi="Times New Roman" w:cs="Times New Roman"/>
          <w:b/>
          <w:bCs/>
          <w:color w:val="131413"/>
          <w:kern w:val="0"/>
          <w:szCs w:val="21"/>
        </w:rPr>
        <w:t xml:space="preserve"> combined-type</w:t>
      </w:r>
      <w:r>
        <w:rPr>
          <w:rFonts w:ascii="Times New Roman" w:hAnsi="Times New Roman" w:cs="Times New Roman" w:hint="eastAsia"/>
          <w:b/>
          <w:bCs/>
          <w:color w:val="131413"/>
          <w:kern w:val="0"/>
          <w:szCs w:val="21"/>
        </w:rPr>
        <w:t xml:space="preserve"> </w:t>
      </w:r>
      <w:r>
        <w:rPr>
          <w:rFonts w:ascii="Times New Roman" w:hAnsi="Times New Roman" w:cs="Times New Roman"/>
          <w:b/>
          <w:bCs/>
          <w:color w:val="131413"/>
          <w:kern w:val="0"/>
          <w:szCs w:val="21"/>
        </w:rPr>
        <w:t>hyperuricemia.</w:t>
      </w:r>
      <w:r>
        <w:rPr>
          <w:rFonts w:ascii="Times New Roman" w:hAnsi="Times New Roman" w:cs="Times New Roman"/>
          <w:color w:val="131413"/>
          <w:kern w:val="0"/>
          <w:szCs w:val="21"/>
        </w:rPr>
        <w:t xml:space="preserve"> A: Percentage change in serum urate (SU) levels at weeks 4, 8, and 12, calculated as ΔSU</w:t>
      </w:r>
      <w:r>
        <w:rPr>
          <w:rFonts w:ascii="Times New Roman" w:hAnsi="Times New Roman" w:cs="Times New Roman" w:hint="eastAsia"/>
          <w:color w:val="131413"/>
          <w:kern w:val="0"/>
          <w:szCs w:val="21"/>
        </w:rPr>
        <w:t>%</w:t>
      </w:r>
      <w:r>
        <w:rPr>
          <w:rFonts w:ascii="Times New Roman" w:hAnsi="Times New Roman" w:cs="Times New Roman"/>
          <w:color w:val="131413"/>
          <w:kern w:val="0"/>
          <w:szCs w:val="21"/>
        </w:rPr>
        <w:t xml:space="preserve"> = </w:t>
      </w:r>
      <w:r>
        <w:rPr>
          <w:rFonts w:ascii="Times New Roman" w:hAnsi="Times New Roman" w:cs="Times New Roman" w:hint="eastAsia"/>
          <w:color w:val="131413"/>
          <w:kern w:val="0"/>
          <w:szCs w:val="21"/>
        </w:rPr>
        <w:t>[</w:t>
      </w:r>
      <w:r>
        <w:rPr>
          <w:rFonts w:ascii="Times New Roman" w:hAnsi="Times New Roman" w:cs="Times New Roman"/>
          <w:color w:val="131413"/>
          <w:kern w:val="0"/>
          <w:szCs w:val="21"/>
        </w:rPr>
        <w:t>(baseline SU level - visit SU level)/baseline SU level</w:t>
      </w:r>
      <w:r>
        <w:rPr>
          <w:rFonts w:ascii="Times New Roman" w:hAnsi="Times New Roman" w:cs="Times New Roman" w:hint="eastAsia"/>
          <w:color w:val="131413"/>
          <w:kern w:val="0"/>
          <w:szCs w:val="21"/>
        </w:rPr>
        <w:t xml:space="preserve">] </w:t>
      </w:r>
      <w:r>
        <w:rPr>
          <w:rFonts w:ascii="Times New Roman" w:hAnsi="Times New Roman" w:cs="Times New Roman"/>
          <w:color w:val="131413"/>
          <w:kern w:val="0"/>
          <w:szCs w:val="21"/>
        </w:rPr>
        <w:t>*</w:t>
      </w:r>
      <w:r>
        <w:rPr>
          <w:rFonts w:ascii="Times New Roman" w:hAnsi="Times New Roman" w:cs="Times New Roman" w:hint="eastAsia"/>
          <w:color w:val="131413"/>
          <w:kern w:val="0"/>
          <w:szCs w:val="21"/>
        </w:rPr>
        <w:t xml:space="preserve"> </w:t>
      </w:r>
      <w:r>
        <w:rPr>
          <w:rFonts w:ascii="Times New Roman" w:hAnsi="Times New Roman" w:cs="Times New Roman"/>
          <w:color w:val="131413"/>
          <w:kern w:val="0"/>
          <w:szCs w:val="21"/>
        </w:rPr>
        <w:t xml:space="preserve">100%. B: </w:t>
      </w:r>
      <w:r>
        <w:rPr>
          <w:rFonts w:ascii="Times New Roman" w:hAnsi="Times New Roman" w:cs="Times New Roman"/>
          <w:szCs w:val="21"/>
        </w:rPr>
        <w:t>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S</w:t>
      </w:r>
      <w:r>
        <w:rPr>
          <w:rFonts w:ascii="Times New Roman" w:hAnsi="Times New Roman" w:cs="Times New Roman" w:hint="eastAsia"/>
          <w:szCs w:val="21"/>
        </w:rPr>
        <w:t>.</w:t>
      </w:r>
      <w:r>
        <w:rPr>
          <w:rFonts w:ascii="Times New Roman" w:hAnsi="Times New Roman" w:cs="Times New Roman"/>
          <w:szCs w:val="21"/>
        </w:rPr>
        <w:t>D</w:t>
      </w:r>
      <w:r>
        <w:rPr>
          <w:rFonts w:ascii="Times New Roman" w:hAnsi="Times New Roman" w:cs="Times New Roman" w:hint="eastAsia"/>
          <w:szCs w:val="21"/>
        </w:rPr>
        <w:t xml:space="preserve"> </w:t>
      </w:r>
      <w:r>
        <w:rPr>
          <w:rFonts w:ascii="Times New Roman" w:hAnsi="Times New Roman" w:cs="Times New Roman" w:hint="eastAsia"/>
          <w:color w:val="131413"/>
          <w:kern w:val="0"/>
          <w:szCs w:val="21"/>
        </w:rPr>
        <w:t>m</w:t>
      </w:r>
      <w:r>
        <w:rPr>
          <w:rFonts w:ascii="Times New Roman" w:hAnsi="Times New Roman" w:cs="Times New Roman"/>
          <w:color w:val="131413"/>
          <w:kern w:val="0"/>
          <w:szCs w:val="21"/>
        </w:rPr>
        <w:t>aximum diameter of tophus by ultrasound</w:t>
      </w:r>
      <w:r>
        <w:rPr>
          <w:rFonts w:ascii="Times New Roman" w:hAnsi="Times New Roman" w:cs="Times New Roman" w:hint="eastAsia"/>
          <w:color w:val="131413"/>
          <w:kern w:val="0"/>
          <w:szCs w:val="21"/>
        </w:rPr>
        <w:t xml:space="preserve"> (US)</w:t>
      </w:r>
      <w:r>
        <w:rPr>
          <w:rFonts w:ascii="Times New Roman" w:hAnsi="Times New Roman" w:cs="Times New Roman"/>
          <w:color w:val="131413"/>
          <w:kern w:val="0"/>
          <w:szCs w:val="21"/>
        </w:rPr>
        <w:t xml:space="preserve"> at baseline and week 12. C: </w:t>
      </w:r>
      <w:r>
        <w:rPr>
          <w:rFonts w:ascii="Times New Roman" w:hAnsi="Times New Roman" w:cs="Times New Roman"/>
          <w:szCs w:val="21"/>
        </w:rPr>
        <w:t>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S</w:t>
      </w:r>
      <w:r>
        <w:rPr>
          <w:rFonts w:ascii="Times New Roman" w:hAnsi="Times New Roman" w:cs="Times New Roman" w:hint="eastAsia"/>
          <w:szCs w:val="21"/>
        </w:rPr>
        <w:t>.</w:t>
      </w:r>
      <w:r>
        <w:rPr>
          <w:rFonts w:ascii="Times New Roman" w:hAnsi="Times New Roman" w:cs="Times New Roman"/>
          <w:szCs w:val="21"/>
        </w:rPr>
        <w:t>D</w:t>
      </w:r>
      <w:r>
        <w:rPr>
          <w:rFonts w:ascii="Times New Roman" w:hAnsi="Times New Roman" w:cs="Times New Roman" w:hint="eastAsia"/>
          <w:szCs w:val="21"/>
        </w:rPr>
        <w:t xml:space="preserve"> </w:t>
      </w:r>
      <w:r>
        <w:rPr>
          <w:rFonts w:ascii="Times New Roman" w:hAnsi="Times New Roman" w:cs="Times New Roman" w:hint="eastAsia"/>
          <w:color w:val="131413"/>
          <w:kern w:val="0"/>
          <w:szCs w:val="21"/>
        </w:rPr>
        <w:t>v</w:t>
      </w:r>
      <w:r>
        <w:rPr>
          <w:rFonts w:ascii="Times New Roman" w:hAnsi="Times New Roman" w:cs="Times New Roman"/>
          <w:color w:val="131413"/>
          <w:kern w:val="0"/>
          <w:szCs w:val="21"/>
        </w:rPr>
        <w:t>olume of MSU crystal measured by dual-energy CT</w:t>
      </w:r>
      <w:r>
        <w:rPr>
          <w:rFonts w:ascii="Times New Roman" w:hAnsi="Times New Roman" w:cs="Times New Roman" w:hint="eastAsia"/>
          <w:color w:val="131413"/>
          <w:kern w:val="0"/>
          <w:szCs w:val="21"/>
        </w:rPr>
        <w:t xml:space="preserve"> (DECT)</w:t>
      </w:r>
      <w:r>
        <w:rPr>
          <w:rFonts w:ascii="Times New Roman" w:hAnsi="Times New Roman" w:cs="Times New Roman"/>
          <w:color w:val="131413"/>
          <w:kern w:val="0"/>
          <w:szCs w:val="21"/>
        </w:rPr>
        <w:t xml:space="preserve"> at baseline and week 12 (after LN transformation). *</w:t>
      </w:r>
      <w:r>
        <w:rPr>
          <w:rFonts w:ascii="Times New Roman" w:hAnsi="Times New Roman" w:cs="Times New Roman"/>
          <w:i/>
          <w:iCs/>
          <w:color w:val="131413"/>
          <w:kern w:val="0"/>
          <w:szCs w:val="21"/>
        </w:rPr>
        <w:t>P</w:t>
      </w:r>
      <w:r>
        <w:rPr>
          <w:rFonts w:ascii="Times New Roman" w:hAnsi="Times New Roman" w:cs="Times New Roman"/>
          <w:color w:val="131413"/>
          <w:kern w:val="0"/>
          <w:szCs w:val="21"/>
        </w:rPr>
        <w:t>&lt;0.05, ***</w:t>
      </w:r>
      <w:r>
        <w:rPr>
          <w:rFonts w:ascii="Times New Roman" w:hAnsi="Times New Roman" w:cs="Times New Roman"/>
          <w:i/>
          <w:iCs/>
          <w:color w:val="131413"/>
          <w:kern w:val="0"/>
          <w:szCs w:val="21"/>
        </w:rPr>
        <w:t>P</w:t>
      </w:r>
      <w:r>
        <w:rPr>
          <w:rFonts w:ascii="Times New Roman" w:hAnsi="Times New Roman" w:cs="Times New Roman"/>
          <w:color w:val="131413"/>
          <w:kern w:val="0"/>
          <w:szCs w:val="21"/>
        </w:rPr>
        <w:t>&lt;0.001.</w:t>
      </w:r>
    </w:p>
    <w:p w14:paraId="5A8F2C0D" w14:textId="77777777" w:rsidR="005C4C6C" w:rsidRDefault="00000000">
      <w:pPr>
        <w:spacing w:line="360" w:lineRule="auto"/>
      </w:pPr>
      <w:r>
        <w:rPr>
          <w:noProof/>
        </w:rPr>
        <w:drawing>
          <wp:inline distT="0" distB="0" distL="0" distR="0" wp14:anchorId="071227E3" wp14:editId="5E90DB4C">
            <wp:extent cx="5274310" cy="1727835"/>
            <wp:effectExtent l="0" t="0" r="0" b="0"/>
            <wp:docPr id="12373215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2152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1727835"/>
                    </a:xfrm>
                    <a:prstGeom prst="rect">
                      <a:avLst/>
                    </a:prstGeom>
                    <a:noFill/>
                    <a:ln>
                      <a:noFill/>
                    </a:ln>
                  </pic:spPr>
                </pic:pic>
              </a:graphicData>
            </a:graphic>
          </wp:inline>
        </w:drawing>
      </w:r>
    </w:p>
    <w:p w14:paraId="3268DFA6" w14:textId="77777777" w:rsidR="00AD7F13" w:rsidRDefault="00AD7F13">
      <w:pPr>
        <w:spacing w:line="360" w:lineRule="auto"/>
      </w:pPr>
    </w:p>
    <w:p w14:paraId="4F6D58EF" w14:textId="77777777" w:rsidR="0093158B" w:rsidRDefault="0093158B">
      <w:pPr>
        <w:spacing w:line="360" w:lineRule="auto"/>
      </w:pPr>
    </w:p>
    <w:p w14:paraId="08567774" w14:textId="7F6ED5EF" w:rsidR="0093158B" w:rsidRPr="0093158B" w:rsidRDefault="0093158B" w:rsidP="0093158B">
      <w:pPr>
        <w:autoSpaceDE w:val="0"/>
        <w:autoSpaceDN w:val="0"/>
        <w:adjustRightInd w:val="0"/>
        <w:spacing w:line="480" w:lineRule="auto"/>
        <w:jc w:val="left"/>
        <w:rPr>
          <w:rFonts w:ascii="Times New Roman" w:eastAsia="宋体" w:hAnsi="Times New Roman" w:cs="Times New Roman"/>
          <w:kern w:val="0"/>
          <w:sz w:val="24"/>
        </w:rPr>
      </w:pPr>
      <w:r>
        <w:rPr>
          <w:rFonts w:ascii="Times New Roman" w:hAnsi="Times New Roman" w:cs="Times New Roman"/>
          <w:b/>
          <w:bCs/>
          <w:sz w:val="24"/>
        </w:rPr>
        <w:lastRenderedPageBreak/>
        <w:t>References</w:t>
      </w:r>
    </w:p>
    <w:p w14:paraId="258C49A9" w14:textId="788F1047" w:rsidR="00AD7F13" w:rsidRDefault="00CA5AB4" w:rsidP="00AD7F13">
      <w:pPr>
        <w:autoSpaceDE w:val="0"/>
        <w:autoSpaceDN w:val="0"/>
        <w:adjustRightInd w:val="0"/>
        <w:spacing w:line="480" w:lineRule="auto"/>
        <w:ind w:left="420" w:hanging="420"/>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sidR="00AD7F13">
        <w:rPr>
          <w:rFonts w:ascii="Times New Roman" w:eastAsia="宋体" w:hAnsi="Times New Roman" w:cs="Times New Roman" w:hint="eastAsia"/>
          <w:color w:val="000000"/>
          <w:kern w:val="0"/>
          <w:sz w:val="20"/>
          <w:szCs w:val="20"/>
        </w:rPr>
        <w:t>.</w:t>
      </w:r>
      <w:r w:rsidR="00AD7F13" w:rsidRPr="00CA7BCC">
        <w:rPr>
          <w:rFonts w:ascii="Times New Roman" w:eastAsia="宋体" w:hAnsi="Times New Roman" w:cs="Times New Roman"/>
          <w:color w:val="000000"/>
          <w:kern w:val="0"/>
          <w:sz w:val="20"/>
          <w:szCs w:val="20"/>
        </w:rPr>
        <w:tab/>
        <w:t>Roddy E, Zhang W, Doherty M. Are joints affected by gout also affected by osteoarthritis? Annals of the rheumatic diseases</w:t>
      </w:r>
      <w:r w:rsidR="00AD7F13">
        <w:rPr>
          <w:rFonts w:ascii="Times New Roman" w:eastAsia="宋体" w:hAnsi="Times New Roman" w:cs="Times New Roman" w:hint="eastAsia"/>
          <w:color w:val="000000"/>
          <w:kern w:val="0"/>
          <w:sz w:val="20"/>
          <w:szCs w:val="20"/>
        </w:rPr>
        <w:t>.</w:t>
      </w:r>
      <w:r w:rsidR="00AD7F13" w:rsidRPr="00CA7BCC">
        <w:rPr>
          <w:rFonts w:ascii="Times New Roman" w:eastAsia="宋体" w:hAnsi="Times New Roman" w:cs="Times New Roman"/>
          <w:color w:val="000000"/>
          <w:kern w:val="0"/>
          <w:sz w:val="20"/>
          <w:szCs w:val="20"/>
        </w:rPr>
        <w:t xml:space="preserve"> 2007</w:t>
      </w:r>
      <w:r w:rsidR="00AD7F13">
        <w:rPr>
          <w:rFonts w:ascii="Times New Roman" w:eastAsia="宋体" w:hAnsi="Times New Roman" w:cs="Times New Roman" w:hint="eastAsia"/>
          <w:color w:val="000000"/>
          <w:kern w:val="0"/>
          <w:sz w:val="20"/>
          <w:szCs w:val="20"/>
        </w:rPr>
        <w:t>;</w:t>
      </w:r>
      <w:r w:rsidR="00AD7F13" w:rsidRPr="00CA7BCC">
        <w:rPr>
          <w:rFonts w:ascii="Times New Roman" w:eastAsia="宋体" w:hAnsi="Times New Roman" w:cs="Times New Roman"/>
          <w:color w:val="000000"/>
          <w:kern w:val="0"/>
          <w:sz w:val="20"/>
          <w:szCs w:val="20"/>
        </w:rPr>
        <w:t>66(10):1374-7.</w:t>
      </w:r>
      <w:r w:rsidR="00AD7F13" w:rsidRPr="00D547DA">
        <w:rPr>
          <w:rFonts w:ascii="Times New Roman" w:eastAsia="宋体" w:hAnsi="Times New Roman" w:cs="Times New Roman"/>
          <w:color w:val="000000"/>
          <w:kern w:val="0"/>
          <w:sz w:val="20"/>
          <w:szCs w:val="20"/>
        </w:rPr>
        <w:t xml:space="preserve"> </w:t>
      </w:r>
      <w:r w:rsidR="00AD7F13" w:rsidRPr="00317B0E">
        <w:rPr>
          <w:rFonts w:ascii="Times New Roman" w:eastAsia="宋体" w:hAnsi="Times New Roman" w:cs="Times New Roman"/>
          <w:color w:val="000000"/>
          <w:kern w:val="0"/>
          <w:sz w:val="20"/>
          <w:szCs w:val="20"/>
        </w:rPr>
        <w:t>https://doi.org/</w:t>
      </w:r>
      <w:r w:rsidR="00AD7F13" w:rsidRPr="00781EFD">
        <w:rPr>
          <w:rFonts w:ascii="Times New Roman" w:eastAsia="宋体" w:hAnsi="Times New Roman" w:cs="Times New Roman"/>
          <w:color w:val="000000"/>
          <w:kern w:val="0"/>
          <w:sz w:val="20"/>
          <w:szCs w:val="20"/>
        </w:rPr>
        <w:t>10.1136/ard.2006.063768</w:t>
      </w:r>
      <w:r w:rsidR="00AD7F13">
        <w:rPr>
          <w:rFonts w:ascii="Times New Roman" w:eastAsia="宋体" w:hAnsi="Times New Roman" w:cs="Times New Roman" w:hint="eastAsia"/>
          <w:color w:val="000000"/>
          <w:kern w:val="0"/>
          <w:sz w:val="20"/>
          <w:szCs w:val="20"/>
        </w:rPr>
        <w:t>.</w:t>
      </w:r>
    </w:p>
    <w:p w14:paraId="11F28E7F" w14:textId="36B4C8E9" w:rsidR="00AD7F13" w:rsidRDefault="00CA5AB4" w:rsidP="00AD7F13">
      <w:pPr>
        <w:autoSpaceDE w:val="0"/>
        <w:autoSpaceDN w:val="0"/>
        <w:adjustRightInd w:val="0"/>
        <w:spacing w:line="480" w:lineRule="auto"/>
        <w:ind w:left="420" w:hanging="420"/>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2</w:t>
      </w:r>
      <w:r w:rsidR="00AD7F13">
        <w:rPr>
          <w:rFonts w:ascii="Times New Roman" w:eastAsia="宋体" w:hAnsi="Times New Roman" w:cs="Times New Roman" w:hint="eastAsia"/>
          <w:color w:val="000000"/>
          <w:kern w:val="0"/>
          <w:sz w:val="20"/>
          <w:szCs w:val="20"/>
        </w:rPr>
        <w:t>.</w:t>
      </w:r>
      <w:r w:rsidR="00AD7F13" w:rsidRPr="00454350">
        <w:rPr>
          <w:rFonts w:ascii="Times New Roman" w:eastAsia="宋体" w:hAnsi="Times New Roman" w:cs="Times New Roman"/>
          <w:color w:val="000000"/>
          <w:kern w:val="0"/>
          <w:sz w:val="20"/>
          <w:szCs w:val="20"/>
        </w:rPr>
        <w:tab/>
        <w:t xml:space="preserve">Huang Z, Li Z, Xiao J, </w:t>
      </w:r>
      <w:r w:rsidR="00AD7F13" w:rsidRPr="00496D8F">
        <w:rPr>
          <w:rFonts w:ascii="Times New Roman" w:eastAsia="宋体" w:hAnsi="Times New Roman" w:cs="Times New Roman"/>
          <w:i/>
          <w:iCs/>
          <w:color w:val="000000"/>
          <w:kern w:val="0"/>
          <w:sz w:val="20"/>
          <w:szCs w:val="20"/>
        </w:rPr>
        <w:t>et al</w:t>
      </w:r>
      <w:r w:rsidR="00AD7F13" w:rsidRPr="00454350">
        <w:rPr>
          <w:rFonts w:ascii="Times New Roman" w:eastAsia="宋体" w:hAnsi="Times New Roman" w:cs="Times New Roman"/>
          <w:color w:val="000000"/>
          <w:kern w:val="0"/>
          <w:sz w:val="20"/>
          <w:szCs w:val="20"/>
        </w:rPr>
        <w:t>. Dual-energy Computed Tomography for the Diagnosis of Acute Gouty Arthritis.</w:t>
      </w:r>
      <w:r w:rsidR="00AD7F13">
        <w:rPr>
          <w:rFonts w:ascii="Times New Roman" w:eastAsia="宋体" w:hAnsi="Times New Roman" w:cs="Times New Roman" w:hint="eastAsia"/>
          <w:color w:val="000000"/>
          <w:kern w:val="0"/>
          <w:sz w:val="20"/>
          <w:szCs w:val="20"/>
        </w:rPr>
        <w:t xml:space="preserve"> </w:t>
      </w:r>
      <w:r w:rsidR="00AD7F13" w:rsidRPr="00454350">
        <w:rPr>
          <w:rFonts w:ascii="Times New Roman" w:eastAsia="宋体" w:hAnsi="Times New Roman" w:cs="Times New Roman"/>
          <w:color w:val="000000"/>
          <w:kern w:val="0"/>
          <w:sz w:val="20"/>
          <w:szCs w:val="20"/>
        </w:rPr>
        <w:t>Current medical imaging</w:t>
      </w:r>
      <w:r w:rsidR="00AD7F13">
        <w:rPr>
          <w:rFonts w:ascii="Times New Roman" w:eastAsia="宋体" w:hAnsi="Times New Roman" w:cs="Times New Roman" w:hint="eastAsia"/>
          <w:color w:val="000000"/>
          <w:kern w:val="0"/>
          <w:sz w:val="20"/>
          <w:szCs w:val="20"/>
        </w:rPr>
        <w:t>.</w:t>
      </w:r>
      <w:r w:rsidR="00AD7F13" w:rsidRPr="00454350">
        <w:rPr>
          <w:rFonts w:ascii="Times New Roman" w:eastAsia="宋体" w:hAnsi="Times New Roman" w:cs="Times New Roman"/>
          <w:color w:val="000000"/>
          <w:kern w:val="0"/>
          <w:sz w:val="20"/>
          <w:szCs w:val="20"/>
        </w:rPr>
        <w:t xml:space="preserve"> 2022</w:t>
      </w:r>
      <w:r w:rsidR="00AD7F13">
        <w:rPr>
          <w:rFonts w:ascii="Times New Roman" w:eastAsia="宋体" w:hAnsi="Times New Roman" w:cs="Times New Roman" w:hint="eastAsia"/>
          <w:color w:val="000000"/>
          <w:kern w:val="0"/>
          <w:sz w:val="20"/>
          <w:szCs w:val="20"/>
        </w:rPr>
        <w:t>;</w:t>
      </w:r>
      <w:r w:rsidR="00AD7F13" w:rsidRPr="00454350">
        <w:rPr>
          <w:rFonts w:ascii="Times New Roman" w:eastAsia="宋体" w:hAnsi="Times New Roman" w:cs="Times New Roman"/>
          <w:color w:val="000000"/>
          <w:kern w:val="0"/>
          <w:sz w:val="20"/>
          <w:szCs w:val="20"/>
        </w:rPr>
        <w:t>18(3):305-11</w:t>
      </w:r>
      <w:r w:rsidR="00AD7F13">
        <w:rPr>
          <w:rFonts w:ascii="Times New Roman" w:eastAsia="宋体" w:hAnsi="Times New Roman" w:cs="Times New Roman" w:hint="eastAsia"/>
          <w:color w:val="000000"/>
          <w:kern w:val="0"/>
          <w:sz w:val="20"/>
          <w:szCs w:val="20"/>
        </w:rPr>
        <w:t xml:space="preserve">. </w:t>
      </w:r>
      <w:hyperlink r:id="rId7" w:history="1">
        <w:r w:rsidR="001D229C" w:rsidRPr="00F93FBC">
          <w:rPr>
            <w:rStyle w:val="af7"/>
            <w:rFonts w:ascii="Times New Roman" w:eastAsia="宋体" w:hAnsi="Times New Roman" w:cs="Times New Roman"/>
            <w:kern w:val="0"/>
            <w:sz w:val="20"/>
            <w:szCs w:val="20"/>
          </w:rPr>
          <w:t>https://doi.org/10.2174/1573405617666210707164124</w:t>
        </w:r>
      </w:hyperlink>
      <w:r w:rsidR="00AD7F13" w:rsidRPr="0056312A">
        <w:rPr>
          <w:rFonts w:ascii="Times New Roman" w:eastAsia="宋体" w:hAnsi="Times New Roman" w:cs="Times New Roman"/>
          <w:color w:val="000000"/>
          <w:kern w:val="0"/>
          <w:sz w:val="20"/>
          <w:szCs w:val="20"/>
        </w:rPr>
        <w:t>.</w:t>
      </w:r>
    </w:p>
    <w:p w14:paraId="50AF2C57" w14:textId="75F5583E" w:rsidR="001D229C" w:rsidRDefault="001D229C" w:rsidP="001D229C">
      <w:pPr>
        <w:autoSpaceDE w:val="0"/>
        <w:autoSpaceDN w:val="0"/>
        <w:adjustRightInd w:val="0"/>
        <w:spacing w:line="480" w:lineRule="auto"/>
        <w:ind w:left="420" w:hanging="420"/>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3</w:t>
      </w:r>
      <w:r>
        <w:rPr>
          <w:rFonts w:ascii="Times New Roman" w:eastAsia="宋体" w:hAnsi="Times New Roman" w:cs="Times New Roman"/>
          <w:color w:val="000000"/>
          <w:kern w:val="0"/>
          <w:sz w:val="20"/>
          <w:szCs w:val="20"/>
        </w:rPr>
        <w:t>.</w:t>
      </w:r>
      <w:r>
        <w:rPr>
          <w:rFonts w:ascii="Times New Roman" w:eastAsia="宋体" w:hAnsi="Times New Roman" w:cs="Times New Roman"/>
          <w:color w:val="000000"/>
          <w:kern w:val="0"/>
          <w:sz w:val="20"/>
          <w:szCs w:val="20"/>
        </w:rPr>
        <w:tab/>
      </w:r>
      <w:bookmarkStart w:id="1" w:name="_neb95F9C5C7_C029_4D9B_A0C9_D30983751BFF"/>
      <w:proofErr w:type="spellStart"/>
      <w:r>
        <w:rPr>
          <w:rFonts w:ascii="Times New Roman" w:eastAsia="宋体" w:hAnsi="Times New Roman" w:cs="Times New Roman"/>
          <w:color w:val="000000"/>
          <w:kern w:val="0"/>
          <w:sz w:val="20"/>
          <w:szCs w:val="20"/>
        </w:rPr>
        <w:t>Neogi</w:t>
      </w:r>
      <w:proofErr w:type="spellEnd"/>
      <w:r>
        <w:rPr>
          <w:rFonts w:ascii="Times New Roman" w:eastAsia="宋体" w:hAnsi="Times New Roman" w:cs="Times New Roman"/>
          <w:color w:val="000000"/>
          <w:kern w:val="0"/>
          <w:sz w:val="20"/>
          <w:szCs w:val="20"/>
        </w:rPr>
        <w:t xml:space="preserve"> T, Jansen T L, </w:t>
      </w:r>
      <w:proofErr w:type="spellStart"/>
      <w:r>
        <w:rPr>
          <w:rFonts w:ascii="Times New Roman" w:eastAsia="宋体" w:hAnsi="Times New Roman" w:cs="Times New Roman"/>
          <w:color w:val="000000"/>
          <w:kern w:val="0"/>
          <w:sz w:val="20"/>
          <w:szCs w:val="20"/>
        </w:rPr>
        <w:t>Dalbeth</w:t>
      </w:r>
      <w:proofErr w:type="spellEnd"/>
      <w:r>
        <w:rPr>
          <w:rFonts w:ascii="Times New Roman" w:eastAsia="宋体" w:hAnsi="Times New Roman" w:cs="Times New Roman"/>
          <w:color w:val="000000"/>
          <w:kern w:val="0"/>
          <w:sz w:val="20"/>
          <w:szCs w:val="20"/>
        </w:rPr>
        <w:t xml:space="preserve"> N, </w:t>
      </w:r>
      <w:r>
        <w:rPr>
          <w:rFonts w:ascii="Times New Roman" w:eastAsia="宋体" w:hAnsi="Times New Roman" w:cs="Times New Roman"/>
          <w:i/>
          <w:iCs/>
          <w:color w:val="000000"/>
          <w:kern w:val="0"/>
          <w:sz w:val="20"/>
          <w:szCs w:val="20"/>
        </w:rPr>
        <w:t>et al</w:t>
      </w:r>
      <w:r>
        <w:rPr>
          <w:rFonts w:ascii="Times New Roman" w:eastAsia="宋体" w:hAnsi="Times New Roman" w:cs="Times New Roman"/>
          <w:color w:val="000000"/>
          <w:kern w:val="0"/>
          <w:sz w:val="20"/>
          <w:szCs w:val="20"/>
        </w:rPr>
        <w:t>. 2015 Gout classification criteria: an American College of Rheumatology/European League Against Rheumatism collaborative initiative. Ann Rheum Dis</w:t>
      </w:r>
      <w:r>
        <w:rPr>
          <w:rFonts w:ascii="Times New Roman" w:eastAsia="宋体" w:hAnsi="Times New Roman" w:cs="Times New Roman" w:hint="eastAsia"/>
          <w:color w:val="000000"/>
          <w:kern w:val="0"/>
          <w:sz w:val="20"/>
          <w:szCs w:val="20"/>
        </w:rPr>
        <w:t xml:space="preserve">. </w:t>
      </w:r>
      <w:r>
        <w:rPr>
          <w:rFonts w:ascii="Times New Roman" w:eastAsia="宋体" w:hAnsi="Times New Roman" w:cs="Times New Roman"/>
          <w:color w:val="000000"/>
          <w:kern w:val="0"/>
          <w:sz w:val="20"/>
          <w:szCs w:val="20"/>
        </w:rPr>
        <w:t>2015;74(10):1789-98.</w:t>
      </w:r>
      <w:bookmarkEnd w:id="1"/>
      <w:r>
        <w:rPr>
          <w:rFonts w:ascii="Calibri" w:eastAsia="宋体" w:hAnsi="Calibri" w:cs="Times New Roman"/>
          <w:szCs w:val="21"/>
        </w:rPr>
        <w:t xml:space="preserve"> </w:t>
      </w:r>
      <w:hyperlink r:id="rId8" w:history="1">
        <w:r>
          <w:rPr>
            <w:rStyle w:val="af7"/>
            <w:rFonts w:ascii="Times New Roman" w:eastAsia="宋体" w:hAnsi="Times New Roman" w:cs="Times New Roman"/>
            <w:kern w:val="0"/>
            <w:sz w:val="20"/>
            <w:szCs w:val="20"/>
          </w:rPr>
          <w:t>https://doi.org/10.1136/annrheumdis-2015-208237</w:t>
        </w:r>
      </w:hyperlink>
      <w:r>
        <w:rPr>
          <w:rFonts w:ascii="Times New Roman" w:eastAsia="宋体" w:hAnsi="Times New Roman" w:cs="Times New Roman" w:hint="eastAsia"/>
          <w:color w:val="000000"/>
          <w:kern w:val="0"/>
          <w:sz w:val="20"/>
          <w:szCs w:val="20"/>
        </w:rPr>
        <w:t>.</w:t>
      </w:r>
    </w:p>
    <w:p w14:paraId="372AB9FF" w14:textId="77777777" w:rsidR="00AD7F13" w:rsidRDefault="00AD7F13">
      <w:pPr>
        <w:spacing w:line="360" w:lineRule="auto"/>
      </w:pPr>
    </w:p>
    <w:sectPr w:rsidR="00AD7F13">
      <w:footerReference w:type="default" r:id="rId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E5DF" w14:textId="77777777" w:rsidR="00B1519D" w:rsidRDefault="00B1519D">
      <w:r>
        <w:separator/>
      </w:r>
    </w:p>
  </w:endnote>
  <w:endnote w:type="continuationSeparator" w:id="0">
    <w:p w14:paraId="2D36DDAF" w14:textId="77777777" w:rsidR="00B1519D" w:rsidRDefault="00B1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724838"/>
    </w:sdtPr>
    <w:sdtContent>
      <w:p w14:paraId="052A6E10" w14:textId="77777777" w:rsidR="005C4C6C" w:rsidRDefault="00000000">
        <w:pPr>
          <w:pStyle w:val="a5"/>
          <w:jc w:val="center"/>
        </w:pPr>
        <w:r>
          <w:fldChar w:fldCharType="begin"/>
        </w:r>
        <w:r>
          <w:instrText>PAGE   \* MERGEFORMAT</w:instrText>
        </w:r>
        <w:r>
          <w:fldChar w:fldCharType="separate"/>
        </w:r>
        <w:r>
          <w:rPr>
            <w:lang w:val="zh-CN"/>
          </w:rPr>
          <w:t>2</w:t>
        </w:r>
        <w:r>
          <w:fldChar w:fldCharType="end"/>
        </w:r>
      </w:p>
    </w:sdtContent>
  </w:sdt>
  <w:p w14:paraId="79E45F3E" w14:textId="77777777" w:rsidR="005C4C6C" w:rsidRDefault="005C4C6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BF640" w14:textId="77777777" w:rsidR="00B1519D" w:rsidRDefault="00B1519D">
      <w:r>
        <w:separator/>
      </w:r>
    </w:p>
  </w:footnote>
  <w:footnote w:type="continuationSeparator" w:id="0">
    <w:p w14:paraId="11D4DB80" w14:textId="77777777" w:rsidR="00B1519D" w:rsidRDefault="00B151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7DA"/>
    <w:rsid w:val="00065CF6"/>
    <w:rsid w:val="000D0938"/>
    <w:rsid w:val="00102F56"/>
    <w:rsid w:val="001120D0"/>
    <w:rsid w:val="001D229C"/>
    <w:rsid w:val="001D6304"/>
    <w:rsid w:val="001E18DB"/>
    <w:rsid w:val="002C1E8B"/>
    <w:rsid w:val="002C7299"/>
    <w:rsid w:val="00315F2F"/>
    <w:rsid w:val="00335F3E"/>
    <w:rsid w:val="003B19CC"/>
    <w:rsid w:val="003E0A38"/>
    <w:rsid w:val="004477E9"/>
    <w:rsid w:val="00461DF8"/>
    <w:rsid w:val="00473B26"/>
    <w:rsid w:val="004F44B9"/>
    <w:rsid w:val="0050052E"/>
    <w:rsid w:val="005705BA"/>
    <w:rsid w:val="005C4C6C"/>
    <w:rsid w:val="0062633B"/>
    <w:rsid w:val="0074126E"/>
    <w:rsid w:val="0079459D"/>
    <w:rsid w:val="007A2D96"/>
    <w:rsid w:val="007A5E92"/>
    <w:rsid w:val="00867017"/>
    <w:rsid w:val="008B1522"/>
    <w:rsid w:val="0093158B"/>
    <w:rsid w:val="009367DA"/>
    <w:rsid w:val="00964722"/>
    <w:rsid w:val="009A1CA8"/>
    <w:rsid w:val="00A54965"/>
    <w:rsid w:val="00A821A5"/>
    <w:rsid w:val="00AD7F13"/>
    <w:rsid w:val="00B12D72"/>
    <w:rsid w:val="00B1519D"/>
    <w:rsid w:val="00B44763"/>
    <w:rsid w:val="00B67E63"/>
    <w:rsid w:val="00B70FDB"/>
    <w:rsid w:val="00BA5583"/>
    <w:rsid w:val="00BB0E2B"/>
    <w:rsid w:val="00BD4ECF"/>
    <w:rsid w:val="00BE00FE"/>
    <w:rsid w:val="00BF2FA0"/>
    <w:rsid w:val="00C14D8E"/>
    <w:rsid w:val="00C85AAF"/>
    <w:rsid w:val="00C955CD"/>
    <w:rsid w:val="00CA5AB4"/>
    <w:rsid w:val="00CF4049"/>
    <w:rsid w:val="00E73A99"/>
    <w:rsid w:val="00E806E6"/>
    <w:rsid w:val="00E938D2"/>
    <w:rsid w:val="00E957D6"/>
    <w:rsid w:val="00EA1661"/>
    <w:rsid w:val="00EB6C82"/>
    <w:rsid w:val="00EC3BED"/>
    <w:rsid w:val="00ED1EB0"/>
    <w:rsid w:val="00F20843"/>
    <w:rsid w:val="00F2348D"/>
    <w:rsid w:val="00F27385"/>
    <w:rsid w:val="00F507DE"/>
    <w:rsid w:val="00F56E12"/>
    <w:rsid w:val="07E274D8"/>
    <w:rsid w:val="12D9699F"/>
    <w:rsid w:val="192676FD"/>
    <w:rsid w:val="5223404D"/>
    <w:rsid w:val="5F7B6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54612"/>
  <w15:docId w15:val="{E412CDEF-1C67-432A-A654-164D65B7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character" w:styleId="af">
    <w:name w:val="line number"/>
    <w:basedOn w:val="a0"/>
    <w:uiPriority w:val="99"/>
    <w:semiHidden/>
    <w:unhideWhenUsed/>
    <w:qFormat/>
  </w:style>
  <w:style w:type="character" w:styleId="af0">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qFormat/>
    <w:rPr>
      <w:rFonts w:cstheme="majorBidi"/>
      <w:color w:val="2E74B5" w:themeColor="accent1" w:themeShade="BF"/>
      <w:sz w:val="28"/>
      <w:szCs w:val="28"/>
    </w:rPr>
  </w:style>
  <w:style w:type="character" w:customStyle="1" w:styleId="50">
    <w:name w:val="标题 5 字符"/>
    <w:basedOn w:val="a0"/>
    <w:link w:val="5"/>
    <w:uiPriority w:val="9"/>
    <w:semiHidden/>
    <w:qFormat/>
    <w:rPr>
      <w:rFonts w:cstheme="majorBidi"/>
      <w:color w:val="2E74B5" w:themeColor="accent1" w:themeShade="BF"/>
      <w:sz w:val="24"/>
      <w:szCs w:val="24"/>
    </w:rPr>
  </w:style>
  <w:style w:type="character" w:customStyle="1" w:styleId="60">
    <w:name w:val="标题 6 字符"/>
    <w:basedOn w:val="a0"/>
    <w:link w:val="6"/>
    <w:uiPriority w:val="9"/>
    <w:semiHidden/>
    <w:qFormat/>
    <w:rPr>
      <w:rFonts w:cstheme="majorBidi"/>
      <w:b/>
      <w:bCs/>
      <w:color w:val="2E74B5"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after="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2E74B5" w:themeColor="accent1" w:themeShade="BF"/>
    </w:rPr>
  </w:style>
  <w:style w:type="paragraph" w:styleId="af4">
    <w:name w:val="Intense Quote"/>
    <w:basedOn w:val="a"/>
    <w:next w:val="a"/>
    <w:link w:val="af5"/>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5">
    <w:name w:val="明显引用 字符"/>
    <w:basedOn w:val="a0"/>
    <w:link w:val="af4"/>
    <w:uiPriority w:val="30"/>
    <w:qFormat/>
    <w:rPr>
      <w:i/>
      <w:iCs/>
      <w:color w:val="2E74B5" w:themeColor="accent1" w:themeShade="BF"/>
    </w:rPr>
  </w:style>
  <w:style w:type="character" w:customStyle="1" w:styleId="12">
    <w:name w:val="明显参考1"/>
    <w:basedOn w:val="a0"/>
    <w:uiPriority w:val="32"/>
    <w:qFormat/>
    <w:rPr>
      <w:b/>
      <w:bCs/>
      <w:smallCaps/>
      <w:color w:val="2E74B5"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unhideWhenUsed/>
    <w:qFormat/>
    <w:rPr>
      <w:kern w:val="2"/>
      <w:sz w:val="21"/>
      <w:szCs w:val="22"/>
      <w14:ligatures w14:val="standardContextual"/>
    </w:rPr>
  </w:style>
  <w:style w:type="character" w:customStyle="1" w:styleId="a4">
    <w:name w:val="批注文字 字符"/>
    <w:basedOn w:val="a0"/>
    <w:link w:val="a3"/>
    <w:uiPriority w:val="99"/>
    <w:semiHidden/>
    <w:qFormat/>
    <w:rPr>
      <w:kern w:val="2"/>
      <w:sz w:val="21"/>
      <w:szCs w:val="22"/>
      <w14:ligatures w14:val="standardContextual"/>
    </w:rPr>
  </w:style>
  <w:style w:type="character" w:customStyle="1" w:styleId="ae">
    <w:name w:val="批注主题 字符"/>
    <w:basedOn w:val="a4"/>
    <w:link w:val="ad"/>
    <w:uiPriority w:val="99"/>
    <w:semiHidden/>
    <w:qFormat/>
    <w:rPr>
      <w:b/>
      <w:bCs/>
      <w:kern w:val="2"/>
      <w:sz w:val="21"/>
      <w:szCs w:val="22"/>
      <w14:ligatures w14:val="standardContextual"/>
    </w:rPr>
  </w:style>
  <w:style w:type="paragraph" w:styleId="af6">
    <w:name w:val="Revision"/>
    <w:hidden/>
    <w:uiPriority w:val="99"/>
    <w:unhideWhenUsed/>
    <w:rsid w:val="00CA5AB4"/>
    <w:rPr>
      <w:kern w:val="2"/>
      <w:sz w:val="21"/>
      <w:szCs w:val="22"/>
      <w14:ligatures w14:val="standardContextual"/>
    </w:rPr>
  </w:style>
  <w:style w:type="character" w:styleId="af7">
    <w:name w:val="Hyperlink"/>
    <w:basedOn w:val="a0"/>
    <w:unhideWhenUsed/>
    <w:qFormat/>
    <w:rsid w:val="001D229C"/>
    <w:rPr>
      <w:color w:val="0563C1" w:themeColor="hyperlink"/>
      <w:u w:val="single"/>
    </w:rPr>
  </w:style>
  <w:style w:type="character" w:styleId="af8">
    <w:name w:val="Unresolved Mention"/>
    <w:basedOn w:val="a0"/>
    <w:uiPriority w:val="99"/>
    <w:semiHidden/>
    <w:unhideWhenUsed/>
    <w:rsid w:val="001D2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36/annrheumdis-2015-208237" TargetMode="External"/><Relationship Id="rId3" Type="http://schemas.openxmlformats.org/officeDocument/2006/relationships/webSettings" Target="webSettings.xml"/><Relationship Id="rId7" Type="http://schemas.openxmlformats.org/officeDocument/2006/relationships/hyperlink" Target="https://doi.org/10.2174/15734056176662107071641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841</Words>
  <Characters>5269</Characters>
  <Application>Microsoft Office Word</Application>
  <DocSecurity>0</DocSecurity>
  <Lines>94</Lines>
  <Paragraphs>31</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guo</dc:creator>
  <cp:lastModifiedBy>kai guo</cp:lastModifiedBy>
  <cp:revision>46</cp:revision>
  <dcterms:created xsi:type="dcterms:W3CDTF">2026-01-23T04:03:00Z</dcterms:created>
  <dcterms:modified xsi:type="dcterms:W3CDTF">2026-02-17T15:09:00Z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eyJoZGlkIjoiZjEyZjNhMGFmZmMwMzVhOGUyNjYxZGNhN2Q1MDE5ZjMiLCJ1c2VySWQiOiIzMDQ0ODk1NzMifQ==</vt:lpwstr>
  </property>
  <property fmtid="{D5CDD505-2E9C-101B-9397-08002B2CF9AE}" pid="3" name="KSOProductBuildVer">
    <vt:lpwstr>2052-12.1.0.24657</vt:lpwstr>
  </property>
  <property fmtid="{D5CDD505-2E9C-101B-9397-08002B2CF9AE}" pid="4" name="ICV">
    <vt:lpwstr>967A03523AF745888A190929374F7043_13</vt:lpwstr>
  </property>
</Properties>
</file>