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EE50" w14:textId="77777777" w:rsidR="00954F56" w:rsidRPr="00A6264F" w:rsidRDefault="00954F56" w:rsidP="00954F56">
      <w:pPr>
        <w:spacing w:line="360" w:lineRule="auto"/>
        <w:ind w:left="426" w:hanging="426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A6264F">
        <w:rPr>
          <w:rFonts w:asciiTheme="minorHAnsi" w:hAnsiTheme="minorHAnsi" w:cstheme="minorHAnsi"/>
          <w:b/>
          <w:bCs/>
          <w:sz w:val="28"/>
          <w:szCs w:val="28"/>
        </w:rPr>
        <w:t>Supplementary Appendix</w:t>
      </w:r>
    </w:p>
    <w:p w14:paraId="1F436C60" w14:textId="77777777" w:rsidR="00954F56" w:rsidRPr="00B906CB" w:rsidRDefault="00954F56" w:rsidP="00954F56">
      <w:pPr>
        <w:jc w:val="both"/>
        <w:rPr>
          <w:rFonts w:asciiTheme="minorHAnsi" w:hAnsiTheme="minorHAnsi" w:cstheme="minorHAnsi"/>
          <w:sz w:val="24"/>
          <w:szCs w:val="24"/>
        </w:rPr>
      </w:pPr>
      <w:r w:rsidRPr="00B906CB">
        <w:rPr>
          <w:rFonts w:asciiTheme="minorHAnsi" w:hAnsiTheme="minorHAnsi" w:cstheme="minorHAnsi"/>
          <w:sz w:val="24"/>
          <w:szCs w:val="24"/>
        </w:rPr>
        <w:t>“Progression of sacroiliac joint structural lesions in axial spondyloarthritis: A longitudinal comparative study of MRI and radiography among European patients in routine clinical care”, by Steimer A, et al.</w:t>
      </w:r>
    </w:p>
    <w:p w14:paraId="78A15545" w14:textId="77777777" w:rsidR="00954F56" w:rsidRPr="00725BE9" w:rsidRDefault="00954F56" w:rsidP="00954F56">
      <w:pPr>
        <w:rPr>
          <w:b/>
          <w:bCs/>
        </w:rPr>
      </w:pPr>
    </w:p>
    <w:p w14:paraId="60513352" w14:textId="77777777" w:rsidR="00954F56" w:rsidRPr="00B906CB" w:rsidRDefault="00954F56" w:rsidP="00954F56">
      <w:pPr>
        <w:spacing w:after="0"/>
        <w:rPr>
          <w:rFonts w:asciiTheme="minorHAnsi" w:eastAsia="Arial" w:hAnsiTheme="minorHAnsi" w:cstheme="minorHAnsi"/>
          <w:sz w:val="24"/>
          <w:szCs w:val="24"/>
        </w:rPr>
      </w:pPr>
      <w:r w:rsidRPr="00B906CB">
        <w:rPr>
          <w:rFonts w:asciiTheme="minorHAnsi" w:eastAsia="Arial" w:hAnsiTheme="minorHAnsi" w:cstheme="minorHAnsi"/>
          <w:b/>
          <w:sz w:val="24"/>
          <w:szCs w:val="24"/>
        </w:rPr>
        <w:t>Supplementary Table S1.</w:t>
      </w:r>
      <w:r w:rsidRPr="00B906CB">
        <w:rPr>
          <w:rFonts w:asciiTheme="minorHAnsi" w:eastAsia="Arial" w:hAnsiTheme="minorHAnsi" w:cstheme="minorHAnsi"/>
          <w:sz w:val="24"/>
          <w:szCs w:val="24"/>
        </w:rPr>
        <w:t xml:space="preserve"> Description of ethical approvals from participating countries.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4314"/>
        <w:gridCol w:w="3006"/>
      </w:tblGrid>
      <w:tr w:rsidR="00954F56" w:rsidRPr="00B906CB" w14:paraId="613BCBE1" w14:textId="77777777" w:rsidTr="00721DCA">
        <w:tc>
          <w:tcPr>
            <w:tcW w:w="1696" w:type="dxa"/>
          </w:tcPr>
          <w:p w14:paraId="262AC95A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Country</w:t>
            </w:r>
          </w:p>
        </w:tc>
        <w:tc>
          <w:tcPr>
            <w:tcW w:w="4314" w:type="dxa"/>
          </w:tcPr>
          <w:p w14:paraId="527B3F23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Ethical approval</w:t>
            </w:r>
          </w:p>
        </w:tc>
        <w:tc>
          <w:tcPr>
            <w:tcW w:w="3006" w:type="dxa"/>
          </w:tcPr>
          <w:p w14:paraId="5D31F974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Reference</w:t>
            </w:r>
          </w:p>
        </w:tc>
      </w:tr>
      <w:tr w:rsidR="00954F56" w:rsidRPr="00B906CB" w14:paraId="4498F4CA" w14:textId="77777777" w:rsidTr="00721DCA">
        <w:tc>
          <w:tcPr>
            <w:tcW w:w="1696" w:type="dxa"/>
          </w:tcPr>
          <w:p w14:paraId="4E09506D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Czech Republic</w:t>
            </w:r>
          </w:p>
        </w:tc>
        <w:tc>
          <w:tcPr>
            <w:tcW w:w="4314" w:type="dxa"/>
          </w:tcPr>
          <w:p w14:paraId="565F4FB2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Ethical approval for ATTRA </w:t>
            </w:r>
            <w:bookmarkStart w:id="0" w:name="_Hlk229644921"/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was granted by the Czech Multicentre Research Ethics Committee. No additional ethical approval was required for the current analysis. </w:t>
            </w:r>
            <w:bookmarkEnd w:id="0"/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All subjects provided their written consent for the collection and storage of data before participation.</w:t>
            </w:r>
          </w:p>
        </w:tc>
        <w:tc>
          <w:tcPr>
            <w:tcW w:w="3006" w:type="dxa"/>
          </w:tcPr>
          <w:p w14:paraId="2181414C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No. 201611 S300.</w:t>
            </w:r>
          </w:p>
          <w:p w14:paraId="76B2CE15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  <w:tr w:rsidR="00954F56" w:rsidRPr="00B906CB" w14:paraId="68C7CB82" w14:textId="77777777" w:rsidTr="00721DCA">
        <w:tc>
          <w:tcPr>
            <w:tcW w:w="1696" w:type="dxa"/>
          </w:tcPr>
          <w:p w14:paraId="3AF3B848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Denmark </w:t>
            </w:r>
          </w:p>
          <w:p w14:paraId="32F18643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  <w:tc>
          <w:tcPr>
            <w:tcW w:w="4314" w:type="dxa"/>
          </w:tcPr>
          <w:p w14:paraId="76B88597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</w:rPr>
              <w:t>In Denmark, the Danish Patient Safety Authority approved the project, ethics approval was waived</w:t>
            </w:r>
          </w:p>
        </w:tc>
        <w:tc>
          <w:tcPr>
            <w:tcW w:w="3006" w:type="dxa"/>
          </w:tcPr>
          <w:p w14:paraId="1FE9D61D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Not applicable</w:t>
            </w:r>
          </w:p>
        </w:tc>
      </w:tr>
      <w:tr w:rsidR="00954F56" w:rsidRPr="00B906CB" w14:paraId="1C284388" w14:textId="77777777" w:rsidTr="00721DCA">
        <w:tc>
          <w:tcPr>
            <w:tcW w:w="1696" w:type="dxa"/>
          </w:tcPr>
          <w:p w14:paraId="53D7242D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Iceland</w:t>
            </w:r>
          </w:p>
        </w:tc>
        <w:tc>
          <w:tcPr>
            <w:tcW w:w="4314" w:type="dxa"/>
          </w:tcPr>
          <w:p w14:paraId="7F93A60A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</w:rPr>
              <w:t xml:space="preserve">In Iceland, The National Bioethics Committee approved the project </w:t>
            </w:r>
          </w:p>
        </w:tc>
        <w:tc>
          <w:tcPr>
            <w:tcW w:w="3006" w:type="dxa"/>
          </w:tcPr>
          <w:p w14:paraId="5E55C9B6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</w:rPr>
              <w:t>18-009-V17.</w:t>
            </w:r>
          </w:p>
        </w:tc>
      </w:tr>
      <w:tr w:rsidR="00954F56" w:rsidRPr="00B906CB" w14:paraId="65704C44" w14:textId="77777777" w:rsidTr="00721DCA">
        <w:tc>
          <w:tcPr>
            <w:tcW w:w="1696" w:type="dxa"/>
          </w:tcPr>
          <w:p w14:paraId="4FB367E9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Slovenia</w:t>
            </w:r>
          </w:p>
        </w:tc>
        <w:tc>
          <w:tcPr>
            <w:tcW w:w="4314" w:type="dxa"/>
          </w:tcPr>
          <w:p w14:paraId="30A635A1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 xml:space="preserve">In Slovenia, the National Medical Ethics Committee of the Republic of Slovenia approved the project. </w:t>
            </w:r>
          </w:p>
        </w:tc>
        <w:tc>
          <w:tcPr>
            <w:tcW w:w="3006" w:type="dxa"/>
          </w:tcPr>
          <w:p w14:paraId="73642F1C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0120-97/2022</w:t>
            </w:r>
          </w:p>
        </w:tc>
      </w:tr>
      <w:tr w:rsidR="00954F56" w:rsidRPr="00B906CB" w14:paraId="5AE31FBC" w14:textId="77777777" w:rsidTr="00721DCA">
        <w:tc>
          <w:tcPr>
            <w:tcW w:w="1696" w:type="dxa"/>
          </w:tcPr>
          <w:p w14:paraId="202AB9BA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Switzerland</w:t>
            </w:r>
          </w:p>
        </w:tc>
        <w:tc>
          <w:tcPr>
            <w:tcW w:w="4314" w:type="dxa"/>
          </w:tcPr>
          <w:p w14:paraId="2223D310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The study was approved by the Ethics Committee of the Canton of Zurich.</w:t>
            </w:r>
          </w:p>
          <w:p w14:paraId="5364D305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Written informed consent was obtained from all patients.</w:t>
            </w:r>
          </w:p>
        </w:tc>
        <w:tc>
          <w:tcPr>
            <w:tcW w:w="3006" w:type="dxa"/>
          </w:tcPr>
          <w:p w14:paraId="5E004839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  <w:r w:rsidRPr="00B906CB">
              <w:rPr>
                <w:rFonts w:asciiTheme="minorHAnsi" w:eastAsia="Arial" w:hAnsiTheme="minorHAnsi" w:cstheme="minorHAnsi"/>
                <w:sz w:val="24"/>
                <w:szCs w:val="24"/>
              </w:rPr>
              <w:t>BASEC 2022-00272</w:t>
            </w:r>
          </w:p>
          <w:p w14:paraId="4BDF91A4" w14:textId="77777777" w:rsidR="00954F56" w:rsidRPr="00B906CB" w:rsidRDefault="00954F56" w:rsidP="00721DCA">
            <w:pPr>
              <w:rPr>
                <w:rFonts w:asciiTheme="minorHAnsi" w:eastAsia="Arial" w:hAnsiTheme="minorHAnsi" w:cstheme="minorHAnsi"/>
                <w:sz w:val="24"/>
                <w:szCs w:val="24"/>
              </w:rPr>
            </w:pPr>
          </w:p>
        </w:tc>
      </w:tr>
    </w:tbl>
    <w:p w14:paraId="5645635C" w14:textId="77777777" w:rsidR="00954F56" w:rsidRPr="00791D1D" w:rsidRDefault="00954F56" w:rsidP="00954F56">
      <w:pPr>
        <w:spacing w:after="0"/>
        <w:rPr>
          <w:rFonts w:eastAsia="Arial" w:cs="Times New Roman"/>
          <w:b/>
        </w:rPr>
      </w:pPr>
    </w:p>
    <w:p w14:paraId="3F01A81F" w14:textId="77777777" w:rsidR="00954F56" w:rsidRDefault="00954F56" w:rsidP="00954F56"/>
    <w:p w14:paraId="3D9B9616" w14:textId="77777777" w:rsidR="00954F56" w:rsidRDefault="00954F56" w:rsidP="00954F56"/>
    <w:p w14:paraId="14D9A841" w14:textId="77777777" w:rsidR="00954F56" w:rsidRDefault="00954F56" w:rsidP="00954F56"/>
    <w:p w14:paraId="7D188C6B" w14:textId="77777777" w:rsidR="00954F56" w:rsidRDefault="00954F56" w:rsidP="00954F56"/>
    <w:p w14:paraId="31CFD7AA" w14:textId="77777777" w:rsidR="00954F56" w:rsidRDefault="00954F56" w:rsidP="00954F56"/>
    <w:p w14:paraId="0D9152BA" w14:textId="77777777" w:rsidR="00954F56" w:rsidRDefault="00954F56" w:rsidP="00954F56"/>
    <w:p w14:paraId="1B1F655E" w14:textId="77777777" w:rsidR="00954F56" w:rsidRDefault="00954F56" w:rsidP="00954F56"/>
    <w:p w14:paraId="1E8078AE" w14:textId="77777777" w:rsidR="00954F56" w:rsidRDefault="00954F56" w:rsidP="00954F56"/>
    <w:p w14:paraId="41A26129" w14:textId="77777777" w:rsidR="00954F56" w:rsidRDefault="00954F56" w:rsidP="00954F56"/>
    <w:p w14:paraId="0D763358" w14:textId="77777777" w:rsidR="00954F56" w:rsidRDefault="00954F56" w:rsidP="00954F56"/>
    <w:p w14:paraId="0A9C7B75" w14:textId="77777777" w:rsidR="00954F56" w:rsidRDefault="00954F56" w:rsidP="00954F56"/>
    <w:p w14:paraId="3038EBBB" w14:textId="77777777" w:rsidR="00954F56" w:rsidRDefault="00954F56" w:rsidP="00954F56"/>
    <w:p w14:paraId="12B82F91" w14:textId="77777777" w:rsidR="00954F56" w:rsidRDefault="00954F56" w:rsidP="00954F56"/>
    <w:p w14:paraId="3F057DDB" w14:textId="77777777" w:rsidR="00954F56" w:rsidRPr="00B906CB" w:rsidRDefault="00954F56" w:rsidP="00954F56">
      <w:pPr>
        <w:rPr>
          <w:rFonts w:asciiTheme="minorHAnsi" w:eastAsia="Calibri" w:hAnsiTheme="minorHAnsi" w:cstheme="minorHAnsi"/>
          <w:sz w:val="24"/>
          <w:szCs w:val="24"/>
          <w:lang w:val="en-US"/>
        </w:rPr>
      </w:pPr>
      <w:bookmarkStart w:id="1" w:name="_Hlk228191599"/>
      <w:bookmarkStart w:id="2" w:name="_Hlk230080573"/>
      <w:r w:rsidRPr="00B906CB">
        <w:rPr>
          <w:rFonts w:asciiTheme="minorHAnsi" w:eastAsia="Calibri" w:hAnsiTheme="minorHAnsi" w:cstheme="minorHAnsi"/>
          <w:b/>
          <w:bCs/>
          <w:sz w:val="24"/>
          <w:szCs w:val="24"/>
          <w:lang w:val="en-US"/>
        </w:rPr>
        <w:lastRenderedPageBreak/>
        <w:t>Supplementary Table S2</w:t>
      </w:r>
      <w:r w:rsidRPr="00B906CB">
        <w:rPr>
          <w:rFonts w:asciiTheme="minorHAnsi" w:eastAsia="Calibri" w:hAnsiTheme="minorHAnsi" w:cstheme="minorHAnsi"/>
          <w:sz w:val="24"/>
          <w:szCs w:val="24"/>
          <w:lang w:val="en-US"/>
        </w:rPr>
        <w:t xml:space="preserve">. Inter-reader reliability of MRI scoring assessed using the </w:t>
      </w:r>
      <w:r w:rsidRPr="00B906CB">
        <w:rPr>
          <w:rFonts w:asciiTheme="minorHAnsi" w:eastAsia="Calibri" w:hAnsiTheme="minorHAnsi" w:cstheme="minorHAnsi"/>
          <w:sz w:val="24"/>
          <w:szCs w:val="24"/>
        </w:rPr>
        <w:t>intraclass correlation coefficient</w:t>
      </w:r>
      <w:r w:rsidRPr="00B906CB">
        <w:rPr>
          <w:rFonts w:asciiTheme="minorHAnsi" w:eastAsia="Calibri" w:hAnsiTheme="minorHAnsi" w:cstheme="minorHAnsi"/>
          <w:sz w:val="24"/>
          <w:szCs w:val="24"/>
          <w:lang w:val="en-US"/>
        </w:rPr>
        <w:t xml:space="preserve"> ICC(2,k) </w:t>
      </w:r>
      <w:r w:rsidRPr="00B906CB">
        <w:rPr>
          <w:rFonts w:asciiTheme="minorHAnsi" w:eastAsia="Calibri" w:hAnsiTheme="minorHAnsi" w:cstheme="minorHAnsi"/>
          <w:sz w:val="24"/>
          <w:szCs w:val="24"/>
        </w:rPr>
        <w:t>(two-way random-effects model, average measures, absolute agreement)</w:t>
      </w:r>
      <w:r w:rsidRPr="00B906CB">
        <w:rPr>
          <w:rFonts w:asciiTheme="minorHAnsi" w:eastAsia="Calibri" w:hAnsiTheme="minorHAnsi" w:cstheme="minorHAnsi"/>
          <w:sz w:val="24"/>
          <w:szCs w:val="24"/>
          <w:lang w:val="en-US"/>
        </w:rPr>
        <w:t>.</w:t>
      </w:r>
    </w:p>
    <w:tbl>
      <w:tblPr>
        <w:tblW w:w="5028" w:type="pct"/>
        <w:tblLook w:val="04A0" w:firstRow="1" w:lastRow="0" w:firstColumn="1" w:lastColumn="0" w:noHBand="0" w:noVBand="1"/>
      </w:tblPr>
      <w:tblGrid>
        <w:gridCol w:w="2062"/>
        <w:gridCol w:w="2048"/>
        <w:gridCol w:w="2255"/>
        <w:gridCol w:w="2712"/>
      </w:tblGrid>
      <w:tr w:rsidR="00954F56" w:rsidRPr="00B906CB" w14:paraId="14367071" w14:textId="77777777" w:rsidTr="009650E3">
        <w:trPr>
          <w:trHeight w:val="332"/>
        </w:trPr>
        <w:tc>
          <w:tcPr>
            <w:tcW w:w="1136" w:type="pct"/>
            <w:tcBorders>
              <w:bottom w:val="single" w:sz="4" w:space="0" w:color="auto"/>
            </w:tcBorders>
          </w:tcPr>
          <w:p w14:paraId="50BA0C88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3864" w:type="pct"/>
            <w:gridSpan w:val="3"/>
            <w:tcBorders>
              <w:bottom w:val="single" w:sz="4" w:space="0" w:color="auto"/>
            </w:tcBorders>
          </w:tcPr>
          <w:p w14:paraId="0C7F8C4F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Intraclass correlation coefficients (ICC (2, k))</w:t>
            </w:r>
          </w:p>
        </w:tc>
      </w:tr>
      <w:tr w:rsidR="00954F56" w:rsidRPr="00B906CB" w14:paraId="251446B8" w14:textId="77777777" w:rsidTr="009650E3">
        <w:trPr>
          <w:trHeight w:val="332"/>
        </w:trPr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</w:tcPr>
          <w:p w14:paraId="07846C4E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SPARCC domain</w:t>
            </w:r>
          </w:p>
        </w:tc>
        <w:tc>
          <w:tcPr>
            <w:tcW w:w="1128" w:type="pct"/>
            <w:tcBorders>
              <w:top w:val="single" w:sz="4" w:space="0" w:color="auto"/>
              <w:bottom w:val="single" w:sz="4" w:space="0" w:color="auto"/>
            </w:tcBorders>
          </w:tcPr>
          <w:p w14:paraId="7E3BAA39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TP1 (95%CI)</w:t>
            </w:r>
          </w:p>
        </w:tc>
        <w:tc>
          <w:tcPr>
            <w:tcW w:w="1242" w:type="pct"/>
            <w:tcBorders>
              <w:top w:val="single" w:sz="4" w:space="0" w:color="auto"/>
              <w:bottom w:val="single" w:sz="4" w:space="0" w:color="auto"/>
            </w:tcBorders>
          </w:tcPr>
          <w:p w14:paraId="51FE4E42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TP2 (95%CI)</w:t>
            </w:r>
          </w:p>
        </w:tc>
        <w:tc>
          <w:tcPr>
            <w:tcW w:w="1494" w:type="pct"/>
            <w:tcBorders>
              <w:top w:val="single" w:sz="4" w:space="0" w:color="auto"/>
              <w:bottom w:val="single" w:sz="4" w:space="0" w:color="auto"/>
            </w:tcBorders>
          </w:tcPr>
          <w:p w14:paraId="240D1611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Change from TP1 to TP2 (95%CI)</w:t>
            </w:r>
          </w:p>
        </w:tc>
      </w:tr>
      <w:tr w:rsidR="00954F56" w:rsidRPr="00B906CB" w14:paraId="15374C4B" w14:textId="77777777" w:rsidTr="009650E3">
        <w:trPr>
          <w:trHeight w:val="332"/>
        </w:trPr>
        <w:tc>
          <w:tcPr>
            <w:tcW w:w="1136" w:type="pct"/>
            <w:tcBorders>
              <w:top w:val="single" w:sz="4" w:space="0" w:color="auto"/>
            </w:tcBorders>
          </w:tcPr>
          <w:p w14:paraId="15E9D1B2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Bone marrow oedema</w:t>
            </w:r>
          </w:p>
        </w:tc>
        <w:tc>
          <w:tcPr>
            <w:tcW w:w="1128" w:type="pct"/>
            <w:tcBorders>
              <w:top w:val="single" w:sz="4" w:space="0" w:color="auto"/>
            </w:tcBorders>
          </w:tcPr>
          <w:p w14:paraId="461E4CC4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58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242" w:type="pct"/>
            <w:tcBorders>
              <w:top w:val="single" w:sz="4" w:space="0" w:color="auto"/>
            </w:tcBorders>
          </w:tcPr>
          <w:p w14:paraId="1373D066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89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80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93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494" w:type="pct"/>
            <w:tcBorders>
              <w:top w:val="single" w:sz="4" w:space="0" w:color="auto"/>
            </w:tcBorders>
          </w:tcPr>
          <w:p w14:paraId="5D0EA0AF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88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</w:tr>
      <w:tr w:rsidR="00954F56" w:rsidRPr="00B906CB" w14:paraId="4BE32B26" w14:textId="77777777" w:rsidTr="009650E3">
        <w:trPr>
          <w:trHeight w:val="380"/>
        </w:trPr>
        <w:tc>
          <w:tcPr>
            <w:tcW w:w="1136" w:type="pct"/>
          </w:tcPr>
          <w:p w14:paraId="0576903F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Structural lesions</w:t>
            </w:r>
          </w:p>
        </w:tc>
        <w:tc>
          <w:tcPr>
            <w:tcW w:w="1128" w:type="pct"/>
          </w:tcPr>
          <w:p w14:paraId="308880CD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242" w:type="pct"/>
          </w:tcPr>
          <w:p w14:paraId="7FC20FFC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94" w:type="pct"/>
          </w:tcPr>
          <w:p w14:paraId="52EC3CBE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954F56" w:rsidRPr="00B906CB" w14:paraId="6202B042" w14:textId="77777777" w:rsidTr="009650E3">
        <w:trPr>
          <w:trHeight w:val="380"/>
        </w:trPr>
        <w:tc>
          <w:tcPr>
            <w:tcW w:w="1136" w:type="pct"/>
          </w:tcPr>
          <w:p w14:paraId="64FB40BF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Erosion</w:t>
            </w:r>
          </w:p>
        </w:tc>
        <w:tc>
          <w:tcPr>
            <w:tcW w:w="1128" w:type="pct"/>
          </w:tcPr>
          <w:p w14:paraId="15EFC777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76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69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82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242" w:type="pct"/>
          </w:tcPr>
          <w:p w14:paraId="2AC3DF2C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60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51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69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494" w:type="pct"/>
          </w:tcPr>
          <w:p w14:paraId="375564A4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63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54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71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</w:tr>
      <w:tr w:rsidR="00954F56" w:rsidRPr="00B906CB" w14:paraId="7E33BF7C" w14:textId="77777777" w:rsidTr="009650E3">
        <w:trPr>
          <w:trHeight w:val="390"/>
        </w:trPr>
        <w:tc>
          <w:tcPr>
            <w:tcW w:w="1136" w:type="pct"/>
          </w:tcPr>
          <w:p w14:paraId="1C30B529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Sclerosis </w:t>
            </w:r>
          </w:p>
        </w:tc>
        <w:tc>
          <w:tcPr>
            <w:tcW w:w="1128" w:type="pct"/>
          </w:tcPr>
          <w:p w14:paraId="13A2AFED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18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06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31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242" w:type="pct"/>
          </w:tcPr>
          <w:p w14:paraId="6343DC41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20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08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494" w:type="pct"/>
          </w:tcPr>
          <w:p w14:paraId="3D659C8E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(-0.0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24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</w:tr>
      <w:tr w:rsidR="00954F56" w:rsidRPr="00B906CB" w14:paraId="70FC520E" w14:textId="77777777" w:rsidTr="009650E3">
        <w:trPr>
          <w:trHeight w:val="380"/>
        </w:trPr>
        <w:tc>
          <w:tcPr>
            <w:tcW w:w="1136" w:type="pct"/>
          </w:tcPr>
          <w:p w14:paraId="2245F854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Ankylosis</w:t>
            </w:r>
          </w:p>
        </w:tc>
        <w:tc>
          <w:tcPr>
            <w:tcW w:w="1128" w:type="pct"/>
          </w:tcPr>
          <w:p w14:paraId="715460CA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6,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242" w:type="pct"/>
          </w:tcPr>
          <w:p w14:paraId="4D122104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494" w:type="pct"/>
          </w:tcPr>
          <w:p w14:paraId="4B896534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0.9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</w:tr>
      <w:tr w:rsidR="00954F56" w:rsidRPr="00B906CB" w14:paraId="2DC028FD" w14:textId="77777777" w:rsidTr="009650E3">
        <w:trPr>
          <w:trHeight w:val="380"/>
        </w:trPr>
        <w:tc>
          <w:tcPr>
            <w:tcW w:w="1136" w:type="pct"/>
          </w:tcPr>
          <w:p w14:paraId="1AE4DEF2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Fat lesions</w:t>
            </w:r>
          </w:p>
        </w:tc>
        <w:tc>
          <w:tcPr>
            <w:tcW w:w="1128" w:type="pct"/>
          </w:tcPr>
          <w:p w14:paraId="5949A721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15,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242" w:type="pct"/>
          </w:tcPr>
          <w:p w14:paraId="799D862F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34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11,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4)</w:t>
            </w:r>
          </w:p>
        </w:tc>
        <w:tc>
          <w:tcPr>
            <w:tcW w:w="1494" w:type="pct"/>
          </w:tcPr>
          <w:p w14:paraId="2B31BA2D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35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23,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47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</w:tr>
      <w:tr w:rsidR="00954F56" w:rsidRPr="00B906CB" w14:paraId="2D7A14F1" w14:textId="77777777" w:rsidTr="009650E3">
        <w:trPr>
          <w:trHeight w:val="380"/>
        </w:trPr>
        <w:tc>
          <w:tcPr>
            <w:tcW w:w="1136" w:type="pct"/>
            <w:tcBorders>
              <w:bottom w:val="single" w:sz="4" w:space="0" w:color="auto"/>
            </w:tcBorders>
          </w:tcPr>
          <w:p w14:paraId="3FF1472E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Backfill</w:t>
            </w:r>
          </w:p>
        </w:tc>
        <w:tc>
          <w:tcPr>
            <w:tcW w:w="1128" w:type="pct"/>
            <w:tcBorders>
              <w:bottom w:val="single" w:sz="4" w:space="0" w:color="auto"/>
            </w:tcBorders>
          </w:tcPr>
          <w:p w14:paraId="26447E50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66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57,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74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242" w:type="pct"/>
            <w:tcBorders>
              <w:bottom w:val="single" w:sz="4" w:space="0" w:color="auto"/>
            </w:tcBorders>
          </w:tcPr>
          <w:p w14:paraId="2CAE8B4B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63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(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53,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72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1494" w:type="pct"/>
            <w:tcBorders>
              <w:bottom w:val="single" w:sz="4" w:space="0" w:color="auto"/>
            </w:tcBorders>
          </w:tcPr>
          <w:p w14:paraId="3F2299FB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69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61,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0.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76</w:t>
            </w: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)</w:t>
            </w:r>
          </w:p>
        </w:tc>
      </w:tr>
    </w:tbl>
    <w:p w14:paraId="3F822476" w14:textId="77777777" w:rsidR="00954F56" w:rsidRPr="00AB2B88" w:rsidRDefault="00954F56" w:rsidP="00954F56">
      <w:pPr>
        <w:rPr>
          <w:rFonts w:asciiTheme="minorHAnsi" w:hAnsiTheme="minorHAnsi" w:cstheme="minorHAnsi"/>
          <w:szCs w:val="20"/>
          <w:lang w:val="en-US"/>
        </w:rPr>
      </w:pPr>
      <w:r w:rsidRPr="00AB2B88">
        <w:rPr>
          <w:rFonts w:asciiTheme="minorHAnsi" w:hAnsiTheme="minorHAnsi" w:cstheme="minorHAnsi"/>
          <w:szCs w:val="20"/>
          <w:lang w:val="en-US"/>
        </w:rPr>
        <w:t>TP1 = timepoint 1; TP2 = timepoint 2; SPARCC = Spondyloarthritis Research Consortium of Canada.</w:t>
      </w:r>
    </w:p>
    <w:p w14:paraId="7EBDA492" w14:textId="77777777" w:rsidR="00954F56" w:rsidRDefault="00954F56" w:rsidP="00954F56"/>
    <w:p w14:paraId="0B6118CC" w14:textId="77777777" w:rsidR="009650E3" w:rsidRDefault="009650E3" w:rsidP="00954F56"/>
    <w:p w14:paraId="6EB67683" w14:textId="77777777" w:rsidR="009650E3" w:rsidRDefault="009650E3" w:rsidP="00954F56"/>
    <w:p w14:paraId="77979FBB" w14:textId="77777777" w:rsidR="009650E3" w:rsidRDefault="009650E3" w:rsidP="00954F56"/>
    <w:p w14:paraId="08ADA5A2" w14:textId="77777777" w:rsidR="009650E3" w:rsidRDefault="009650E3" w:rsidP="00954F56"/>
    <w:p w14:paraId="1397DE02" w14:textId="77777777" w:rsidR="009650E3" w:rsidRDefault="009650E3" w:rsidP="00954F56"/>
    <w:p w14:paraId="4C5F6FD9" w14:textId="77777777" w:rsidR="00954F56" w:rsidRPr="00B906CB" w:rsidRDefault="00954F56" w:rsidP="00954F56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B906CB">
        <w:rPr>
          <w:rFonts w:asciiTheme="minorHAnsi" w:hAnsiTheme="minorHAnsi" w:cstheme="minorHAnsi"/>
          <w:b/>
          <w:bCs/>
          <w:sz w:val="24"/>
          <w:szCs w:val="24"/>
          <w:lang w:val="en-US"/>
        </w:rPr>
        <w:t>Supplementary Table S3</w:t>
      </w:r>
      <w:r w:rsidRPr="00B906CB">
        <w:rPr>
          <w:rFonts w:asciiTheme="minorHAnsi" w:hAnsiTheme="minorHAnsi" w:cstheme="minorHAnsi"/>
          <w:sz w:val="24"/>
          <w:szCs w:val="24"/>
          <w:lang w:val="en-US"/>
        </w:rPr>
        <w:t>. Cohen’s kappa coefficients for radiograph</w:t>
      </w:r>
      <w:r>
        <w:rPr>
          <w:rFonts w:asciiTheme="minorHAnsi" w:hAnsiTheme="minorHAnsi" w:cstheme="minorHAnsi"/>
          <w:sz w:val="24"/>
          <w:szCs w:val="24"/>
          <w:lang w:val="en-US"/>
        </w:rPr>
        <w:t>ic</w:t>
      </w:r>
      <w:r w:rsidRPr="00B906CB">
        <w:rPr>
          <w:rFonts w:asciiTheme="minorHAnsi" w:hAnsiTheme="minorHAnsi" w:cstheme="minorHAnsi"/>
          <w:sz w:val="24"/>
          <w:szCs w:val="24"/>
          <w:lang w:val="en-US"/>
        </w:rPr>
        <w:t xml:space="preserve"> scoring.</w:t>
      </w:r>
    </w:p>
    <w:tbl>
      <w:tblPr>
        <w:tblW w:w="4996" w:type="pct"/>
        <w:tblLook w:val="04A0" w:firstRow="1" w:lastRow="0" w:firstColumn="1" w:lastColumn="0" w:noHBand="0" w:noVBand="1"/>
      </w:tblPr>
      <w:tblGrid>
        <w:gridCol w:w="1982"/>
        <w:gridCol w:w="1703"/>
        <w:gridCol w:w="1705"/>
        <w:gridCol w:w="3629"/>
      </w:tblGrid>
      <w:tr w:rsidR="00954F56" w:rsidRPr="00B906CB" w14:paraId="728CD11A" w14:textId="77777777" w:rsidTr="009650E3">
        <w:trPr>
          <w:trHeight w:val="332"/>
        </w:trPr>
        <w:tc>
          <w:tcPr>
            <w:tcW w:w="1099" w:type="pct"/>
            <w:tcBorders>
              <w:bottom w:val="single" w:sz="4" w:space="0" w:color="auto"/>
            </w:tcBorders>
          </w:tcPr>
          <w:p w14:paraId="0452A696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3901" w:type="pct"/>
            <w:gridSpan w:val="3"/>
            <w:tcBorders>
              <w:bottom w:val="single" w:sz="4" w:space="0" w:color="auto"/>
            </w:tcBorders>
          </w:tcPr>
          <w:p w14:paraId="71CD784B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Cohen’s kappa </w:t>
            </w:r>
          </w:p>
        </w:tc>
      </w:tr>
      <w:tr w:rsidR="00954F56" w:rsidRPr="00B906CB" w14:paraId="406A0378" w14:textId="77777777" w:rsidTr="009650E3">
        <w:trPr>
          <w:trHeight w:val="332"/>
        </w:trPr>
        <w:tc>
          <w:tcPr>
            <w:tcW w:w="1099" w:type="pct"/>
            <w:tcBorders>
              <w:top w:val="single" w:sz="4" w:space="0" w:color="auto"/>
              <w:bottom w:val="single" w:sz="4" w:space="0" w:color="auto"/>
            </w:tcBorders>
          </w:tcPr>
          <w:p w14:paraId="1F3EB607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</w:tcPr>
          <w:p w14:paraId="43D9ED74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TP1</w:t>
            </w:r>
          </w:p>
        </w:tc>
        <w:tc>
          <w:tcPr>
            <w:tcW w:w="945" w:type="pct"/>
            <w:tcBorders>
              <w:top w:val="single" w:sz="4" w:space="0" w:color="auto"/>
              <w:bottom w:val="single" w:sz="4" w:space="0" w:color="auto"/>
            </w:tcBorders>
          </w:tcPr>
          <w:p w14:paraId="1A775CDA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TP2</w:t>
            </w:r>
          </w:p>
        </w:tc>
        <w:tc>
          <w:tcPr>
            <w:tcW w:w="2012" w:type="pct"/>
            <w:tcBorders>
              <w:top w:val="single" w:sz="4" w:space="0" w:color="auto"/>
              <w:bottom w:val="single" w:sz="4" w:space="0" w:color="auto"/>
            </w:tcBorders>
          </w:tcPr>
          <w:p w14:paraId="7031C546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Change from TP1 to TP2</w:t>
            </w:r>
          </w:p>
        </w:tc>
      </w:tr>
      <w:tr w:rsidR="00954F56" w:rsidRPr="00B906CB" w14:paraId="602336A8" w14:textId="77777777" w:rsidTr="009650E3">
        <w:trPr>
          <w:trHeight w:val="380"/>
        </w:trPr>
        <w:tc>
          <w:tcPr>
            <w:tcW w:w="1099" w:type="pct"/>
            <w:tcBorders>
              <w:top w:val="single" w:sz="4" w:space="0" w:color="auto"/>
            </w:tcBorders>
          </w:tcPr>
          <w:p w14:paraId="3E13E1F1" w14:textId="77777777" w:rsidR="00954F56" w:rsidRPr="00B906CB" w:rsidRDefault="00954F56" w:rsidP="00721DCA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Structural lesions</w:t>
            </w:r>
          </w:p>
        </w:tc>
        <w:tc>
          <w:tcPr>
            <w:tcW w:w="944" w:type="pct"/>
            <w:tcBorders>
              <w:top w:val="single" w:sz="4" w:space="0" w:color="auto"/>
            </w:tcBorders>
          </w:tcPr>
          <w:p w14:paraId="1BCFC21B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945" w:type="pct"/>
            <w:tcBorders>
              <w:top w:val="single" w:sz="4" w:space="0" w:color="auto"/>
            </w:tcBorders>
          </w:tcPr>
          <w:p w14:paraId="0C563A56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2012" w:type="pct"/>
            <w:tcBorders>
              <w:top w:val="single" w:sz="4" w:space="0" w:color="auto"/>
            </w:tcBorders>
          </w:tcPr>
          <w:p w14:paraId="6308B561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954F56" w:rsidRPr="00B906CB" w14:paraId="690BDC51" w14:textId="77777777" w:rsidTr="009650E3">
        <w:trPr>
          <w:trHeight w:val="380"/>
        </w:trPr>
        <w:tc>
          <w:tcPr>
            <w:tcW w:w="1099" w:type="pct"/>
          </w:tcPr>
          <w:p w14:paraId="41F4C4DD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Erosion</w:t>
            </w:r>
          </w:p>
        </w:tc>
        <w:tc>
          <w:tcPr>
            <w:tcW w:w="944" w:type="pct"/>
          </w:tcPr>
          <w:p w14:paraId="66313976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0.01</w:t>
            </w:r>
          </w:p>
        </w:tc>
        <w:tc>
          <w:tcPr>
            <w:tcW w:w="945" w:type="pct"/>
          </w:tcPr>
          <w:p w14:paraId="09764248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0.02</w:t>
            </w:r>
          </w:p>
        </w:tc>
        <w:tc>
          <w:tcPr>
            <w:tcW w:w="2012" w:type="pct"/>
          </w:tcPr>
          <w:p w14:paraId="18D9728A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- 0.04</w:t>
            </w:r>
          </w:p>
        </w:tc>
      </w:tr>
      <w:tr w:rsidR="00954F56" w:rsidRPr="00B906CB" w14:paraId="57EA4C90" w14:textId="77777777" w:rsidTr="009650E3">
        <w:trPr>
          <w:trHeight w:val="390"/>
        </w:trPr>
        <w:tc>
          <w:tcPr>
            <w:tcW w:w="1099" w:type="pct"/>
          </w:tcPr>
          <w:p w14:paraId="070FF482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Sclerosis </w:t>
            </w:r>
          </w:p>
        </w:tc>
        <w:tc>
          <w:tcPr>
            <w:tcW w:w="944" w:type="pct"/>
          </w:tcPr>
          <w:p w14:paraId="0A23D3FB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0.14</w:t>
            </w:r>
          </w:p>
        </w:tc>
        <w:tc>
          <w:tcPr>
            <w:tcW w:w="945" w:type="pct"/>
          </w:tcPr>
          <w:p w14:paraId="1B87F2DE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0.08</w:t>
            </w:r>
          </w:p>
        </w:tc>
        <w:tc>
          <w:tcPr>
            <w:tcW w:w="2012" w:type="pct"/>
          </w:tcPr>
          <w:p w14:paraId="497CE858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- 0.01</w:t>
            </w:r>
          </w:p>
        </w:tc>
      </w:tr>
      <w:tr w:rsidR="00954F56" w:rsidRPr="00B906CB" w14:paraId="33196A31" w14:textId="77777777" w:rsidTr="009650E3">
        <w:trPr>
          <w:trHeight w:val="380"/>
        </w:trPr>
        <w:tc>
          <w:tcPr>
            <w:tcW w:w="1099" w:type="pct"/>
            <w:tcBorders>
              <w:bottom w:val="single" w:sz="4" w:space="0" w:color="auto"/>
            </w:tcBorders>
          </w:tcPr>
          <w:p w14:paraId="52880CEC" w14:textId="77777777" w:rsidR="00954F56" w:rsidRPr="00B906CB" w:rsidRDefault="00954F56" w:rsidP="00721DC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Ankylosis</w:t>
            </w:r>
          </w:p>
        </w:tc>
        <w:tc>
          <w:tcPr>
            <w:tcW w:w="944" w:type="pct"/>
            <w:tcBorders>
              <w:bottom w:val="single" w:sz="4" w:space="0" w:color="auto"/>
            </w:tcBorders>
          </w:tcPr>
          <w:p w14:paraId="4864A70E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0.63</w:t>
            </w:r>
          </w:p>
        </w:tc>
        <w:tc>
          <w:tcPr>
            <w:tcW w:w="945" w:type="pct"/>
            <w:tcBorders>
              <w:bottom w:val="single" w:sz="4" w:space="0" w:color="auto"/>
            </w:tcBorders>
          </w:tcPr>
          <w:p w14:paraId="58699E73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0.60</w:t>
            </w:r>
          </w:p>
        </w:tc>
        <w:tc>
          <w:tcPr>
            <w:tcW w:w="2012" w:type="pct"/>
            <w:tcBorders>
              <w:bottom w:val="single" w:sz="4" w:space="0" w:color="auto"/>
            </w:tcBorders>
          </w:tcPr>
          <w:p w14:paraId="66F07DDD" w14:textId="77777777" w:rsidR="00954F56" w:rsidRPr="00B906CB" w:rsidRDefault="00954F56" w:rsidP="00721DCA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06C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0.00</w:t>
            </w:r>
          </w:p>
        </w:tc>
      </w:tr>
    </w:tbl>
    <w:p w14:paraId="582644EE" w14:textId="77777777" w:rsidR="00624AC5" w:rsidRDefault="00954F56" w:rsidP="00954F56">
      <w:pPr>
        <w:rPr>
          <w:rFonts w:asciiTheme="minorHAnsi" w:hAnsiTheme="minorHAnsi" w:cstheme="minorHAnsi"/>
          <w:szCs w:val="20"/>
          <w:lang w:val="en-US"/>
        </w:rPr>
      </w:pPr>
      <w:r w:rsidRPr="00AB2B88">
        <w:rPr>
          <w:rFonts w:asciiTheme="minorHAnsi" w:hAnsiTheme="minorHAnsi" w:cstheme="minorHAnsi"/>
          <w:szCs w:val="20"/>
          <w:lang w:val="en-US"/>
        </w:rPr>
        <w:t>In 7 cases only one reader and one adjudicator scored the image. These cases were omitted from the inter-reader reliability agreement calculation. TP1 = timepoint 1; TP2 = timepoint 2; SPARCC = Spondyloarthritis Research Consortium of Canada.</w:t>
      </w:r>
      <w:bookmarkEnd w:id="1"/>
    </w:p>
    <w:p w14:paraId="601B2D8C" w14:textId="77777777" w:rsidR="00173CDA" w:rsidRPr="00AB2B88" w:rsidRDefault="00173CDA" w:rsidP="00954F56">
      <w:pPr>
        <w:rPr>
          <w:rFonts w:asciiTheme="minorHAnsi" w:hAnsiTheme="minorHAnsi" w:cstheme="minorHAnsi"/>
          <w:szCs w:val="20"/>
          <w:lang w:val="en-US"/>
        </w:rPr>
      </w:pPr>
    </w:p>
    <w:p w14:paraId="45FF09E9" w14:textId="62C8B0B5" w:rsidR="00954F56" w:rsidRPr="00624AC5" w:rsidRDefault="00954F56" w:rsidP="00954F56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02114D">
        <w:rPr>
          <w:rFonts w:asciiTheme="minorHAnsi" w:hAnsiTheme="minorHAnsi" w:cstheme="minorHAnsi"/>
          <w:b/>
          <w:bCs/>
          <w:sz w:val="24"/>
          <w:szCs w:val="24"/>
          <w:lang w:val="en-US"/>
        </w:rPr>
        <w:lastRenderedPageBreak/>
        <w:t>Supplementary Figure S1.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242A12">
        <w:rPr>
          <w:rFonts w:asciiTheme="minorHAnsi" w:hAnsiTheme="minorHAnsi" w:cstheme="minorHAnsi"/>
          <w:sz w:val="24"/>
          <w:szCs w:val="24"/>
          <w:lang w:val="en-US"/>
        </w:rPr>
        <w:t>“</w:t>
      </w:r>
      <w:r w:rsidRPr="00B906CB">
        <w:rPr>
          <w:rFonts w:asciiTheme="minorHAnsi" w:hAnsiTheme="minorHAnsi" w:cstheme="minorHAnsi"/>
          <w:sz w:val="24"/>
          <w:szCs w:val="24"/>
        </w:rPr>
        <w:t>Progression</w:t>
      </w:r>
      <w:r w:rsidR="00242A12">
        <w:rPr>
          <w:rFonts w:asciiTheme="minorHAnsi" w:hAnsiTheme="minorHAnsi" w:cstheme="minorHAnsi"/>
          <w:sz w:val="24"/>
          <w:szCs w:val="24"/>
        </w:rPr>
        <w:t>” and “regression”</w:t>
      </w:r>
      <w:r w:rsidRPr="00B906CB">
        <w:rPr>
          <w:rFonts w:asciiTheme="minorHAnsi" w:hAnsiTheme="minorHAnsi" w:cstheme="minorHAnsi"/>
          <w:sz w:val="24"/>
          <w:szCs w:val="24"/>
        </w:rPr>
        <w:t xml:space="preserve"> of erosion, sclerosis, and incident ankylosis in SIJ radiograph (x-axes) and MRI (y-axes) between first and second assessment for the left and right SIJ, respectively</w:t>
      </w:r>
      <w:r>
        <w:rPr>
          <w:rFonts w:asciiTheme="minorHAnsi" w:hAnsiTheme="minorHAnsi" w:cstheme="minorHAnsi"/>
          <w:sz w:val="24"/>
          <w:szCs w:val="24"/>
        </w:rPr>
        <w:t xml:space="preserve"> in patients with </w:t>
      </w:r>
      <w:r w:rsidRPr="0002114D">
        <w:rPr>
          <w:rFonts w:asciiTheme="minorHAnsi" w:hAnsiTheme="minorHAnsi" w:cstheme="minorHAnsi"/>
          <w:b/>
          <w:bCs/>
          <w:sz w:val="24"/>
          <w:szCs w:val="24"/>
        </w:rPr>
        <w:t>radiographic axSpA</w:t>
      </w:r>
      <w:r>
        <w:rPr>
          <w:rFonts w:asciiTheme="minorHAnsi" w:hAnsiTheme="minorHAnsi" w:cstheme="minorHAnsi"/>
          <w:sz w:val="24"/>
          <w:szCs w:val="24"/>
        </w:rPr>
        <w:t xml:space="preserve"> (n=33)</w:t>
      </w:r>
      <w:r w:rsidRPr="00B906CB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906CB">
        <w:rPr>
          <w:rFonts w:asciiTheme="minorHAnsi" w:hAnsiTheme="minorHAnsi" w:cstheme="minorHAnsi"/>
          <w:b/>
          <w:bCs/>
          <w:sz w:val="24"/>
          <w:szCs w:val="24"/>
          <w:lang w:val="en-US"/>
        </w:rPr>
        <w:t>A.</w:t>
      </w:r>
      <w:r w:rsidRPr="00B906CB">
        <w:rPr>
          <w:rFonts w:asciiTheme="minorHAnsi" w:hAnsiTheme="minorHAnsi" w:cstheme="minorHAnsi"/>
          <w:sz w:val="24"/>
          <w:szCs w:val="24"/>
          <w:lang w:val="en-US"/>
        </w:rPr>
        <w:t xml:space="preserve"> Change in erosion. </w:t>
      </w:r>
      <w:r w:rsidRPr="00B906CB">
        <w:rPr>
          <w:rFonts w:asciiTheme="minorHAnsi" w:hAnsiTheme="minorHAnsi" w:cstheme="minorHAnsi"/>
          <w:b/>
          <w:bCs/>
          <w:sz w:val="24"/>
          <w:szCs w:val="24"/>
        </w:rPr>
        <w:t>B.</w:t>
      </w:r>
      <w:r w:rsidRPr="00B906CB">
        <w:rPr>
          <w:rFonts w:asciiTheme="minorHAnsi" w:hAnsiTheme="minorHAnsi" w:cstheme="minorHAnsi"/>
          <w:sz w:val="24"/>
          <w:szCs w:val="24"/>
        </w:rPr>
        <w:t xml:space="preserve"> Change in sclerosis. </w:t>
      </w:r>
      <w:r w:rsidRPr="00B906CB">
        <w:rPr>
          <w:rFonts w:asciiTheme="minorHAnsi" w:hAnsiTheme="minorHAnsi" w:cstheme="minorHAnsi"/>
          <w:b/>
          <w:bCs/>
          <w:sz w:val="24"/>
          <w:szCs w:val="24"/>
        </w:rPr>
        <w:t>C.</w:t>
      </w:r>
      <w:r w:rsidRPr="00B906CB">
        <w:rPr>
          <w:rFonts w:asciiTheme="minorHAnsi" w:hAnsiTheme="minorHAnsi" w:cstheme="minorHAnsi"/>
          <w:sz w:val="24"/>
          <w:szCs w:val="24"/>
        </w:rPr>
        <w:t xml:space="preserve"> New ankylosis. SPARCC = Spondyloarthritis Research Consortium of Canada.</w:t>
      </w:r>
    </w:p>
    <w:p w14:paraId="642C0536" w14:textId="77777777" w:rsidR="00954F56" w:rsidRPr="0002114D" w:rsidRDefault="00954F56" w:rsidP="00954F5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2114D">
        <w:rPr>
          <w:rFonts w:asciiTheme="minorHAnsi" w:hAnsiTheme="minorHAnsi" w:cstheme="minorHAnsi"/>
          <w:b/>
          <w:bCs/>
          <w:sz w:val="24"/>
          <w:szCs w:val="24"/>
        </w:rPr>
        <w:t>A.</w:t>
      </w:r>
    </w:p>
    <w:p w14:paraId="07D0D318" w14:textId="77777777" w:rsidR="00954F56" w:rsidRDefault="00954F56" w:rsidP="00954F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63560B46" wp14:editId="4BEE9D4B">
            <wp:extent cx="5400000" cy="2160000"/>
            <wp:effectExtent l="0" t="0" r="0" b="0"/>
            <wp:docPr id="8314255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3EF776" w14:textId="77777777" w:rsidR="00954F56" w:rsidRPr="0002114D" w:rsidRDefault="00954F56" w:rsidP="00954F5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2114D">
        <w:rPr>
          <w:rFonts w:asciiTheme="minorHAnsi" w:hAnsiTheme="minorHAnsi" w:cstheme="minorHAnsi"/>
          <w:b/>
          <w:bCs/>
          <w:sz w:val="24"/>
          <w:szCs w:val="24"/>
        </w:rPr>
        <w:t>B.</w:t>
      </w:r>
    </w:p>
    <w:p w14:paraId="17A86F78" w14:textId="77777777" w:rsidR="00954F56" w:rsidRDefault="00954F56" w:rsidP="00954F56">
      <w:pPr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235A448B" wp14:editId="3B877164">
            <wp:extent cx="5400598" cy="2160000"/>
            <wp:effectExtent l="0" t="0" r="0" b="0"/>
            <wp:docPr id="210175718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5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8FCFA" w14:textId="77777777" w:rsidR="00954F56" w:rsidRPr="0002114D" w:rsidRDefault="00954F56" w:rsidP="00954F56">
      <w:pPr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02114D">
        <w:rPr>
          <w:rFonts w:asciiTheme="minorHAnsi" w:hAnsiTheme="minorHAnsi" w:cstheme="minorHAnsi"/>
          <w:b/>
          <w:bCs/>
          <w:sz w:val="24"/>
          <w:szCs w:val="24"/>
          <w:lang w:val="en-US"/>
        </w:rPr>
        <w:t>C.</w:t>
      </w:r>
    </w:p>
    <w:p w14:paraId="788F7230" w14:textId="77777777" w:rsidR="009650E3" w:rsidRDefault="00954F56" w:rsidP="009650E3">
      <w:pPr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36F0645" wp14:editId="5BB1B80C">
            <wp:extent cx="5400598" cy="2160000"/>
            <wp:effectExtent l="0" t="0" r="0" b="0"/>
            <wp:docPr id="14136550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5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D53B1" w14:textId="0D76F10F" w:rsidR="00173CDA" w:rsidRPr="00B906CB" w:rsidRDefault="00954F56" w:rsidP="00173CDA">
      <w:pPr>
        <w:rPr>
          <w:rFonts w:asciiTheme="minorHAnsi" w:hAnsiTheme="minorHAnsi" w:cstheme="minorHAnsi"/>
          <w:szCs w:val="20"/>
        </w:rPr>
      </w:pPr>
      <w:r w:rsidRPr="00B906CB">
        <w:rPr>
          <w:rFonts w:asciiTheme="minorHAnsi" w:hAnsiTheme="minorHAnsi" w:cstheme="minorHAnsi"/>
          <w:b/>
          <w:bCs/>
          <w:sz w:val="24"/>
          <w:szCs w:val="24"/>
          <w:lang w:val="en-US"/>
        </w:rPr>
        <w:lastRenderedPageBreak/>
        <w:t>Supplementary Figure S</w:t>
      </w:r>
      <w:r>
        <w:rPr>
          <w:rFonts w:asciiTheme="minorHAnsi" w:hAnsiTheme="minorHAnsi" w:cstheme="minorHAnsi"/>
          <w:b/>
          <w:bCs/>
          <w:sz w:val="24"/>
          <w:szCs w:val="24"/>
          <w:lang w:val="en-US"/>
        </w:rPr>
        <w:t>2</w:t>
      </w:r>
      <w:r w:rsidRPr="00B906C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. </w:t>
      </w:r>
      <w:bookmarkEnd w:id="2"/>
      <w:r w:rsidR="00087D1C">
        <w:rPr>
          <w:rFonts w:asciiTheme="minorHAnsi" w:hAnsiTheme="minorHAnsi" w:cstheme="minorHAnsi"/>
          <w:sz w:val="24"/>
          <w:szCs w:val="24"/>
          <w:lang w:val="en-US"/>
        </w:rPr>
        <w:t>“</w:t>
      </w:r>
      <w:r w:rsidR="00087D1C" w:rsidRPr="00B906CB">
        <w:rPr>
          <w:rFonts w:asciiTheme="minorHAnsi" w:hAnsiTheme="minorHAnsi" w:cstheme="minorHAnsi"/>
          <w:sz w:val="24"/>
          <w:szCs w:val="24"/>
        </w:rPr>
        <w:t>Progression</w:t>
      </w:r>
      <w:r w:rsidR="00087D1C">
        <w:rPr>
          <w:rFonts w:asciiTheme="minorHAnsi" w:hAnsiTheme="minorHAnsi" w:cstheme="minorHAnsi"/>
          <w:sz w:val="24"/>
          <w:szCs w:val="24"/>
        </w:rPr>
        <w:t>” and “regression”</w:t>
      </w:r>
      <w:r w:rsidR="00087D1C" w:rsidRPr="00B906CB">
        <w:rPr>
          <w:rFonts w:asciiTheme="minorHAnsi" w:hAnsiTheme="minorHAnsi" w:cstheme="minorHAnsi"/>
          <w:sz w:val="24"/>
          <w:szCs w:val="24"/>
        </w:rPr>
        <w:t xml:space="preserve"> </w:t>
      </w:r>
      <w:r w:rsidR="00081A1F" w:rsidRPr="00BC7F69">
        <w:rPr>
          <w:rFonts w:asciiTheme="minorHAnsi" w:hAnsiTheme="minorHAnsi" w:cstheme="minorHAnsi"/>
          <w:sz w:val="24"/>
          <w:szCs w:val="24"/>
        </w:rPr>
        <w:t>of ankylosis in SIJ radiograph (x-axes) and MRI (y-axes) between first and second assessment for the left and right SIJ</w:t>
      </w:r>
      <w:r w:rsidR="00173CDA" w:rsidRPr="00BC7F69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r w:rsidR="00173CDA" w:rsidRPr="00BC7F69">
        <w:rPr>
          <w:rFonts w:asciiTheme="minorHAnsi" w:hAnsiTheme="minorHAnsi" w:cstheme="minorHAnsi"/>
          <w:sz w:val="24"/>
          <w:szCs w:val="24"/>
        </w:rPr>
        <w:t>MRI = magnetic resonance imaging; SPARCC = Spondyloarthritis Research Consortium of Canada.</w:t>
      </w:r>
    </w:p>
    <w:p w14:paraId="7FCB084C" w14:textId="30B0832B" w:rsidR="00954F56" w:rsidRPr="009650E3" w:rsidRDefault="00954F56" w:rsidP="009650E3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B906CB">
        <w:rPr>
          <w:rFonts w:asciiTheme="minorHAnsi" w:hAnsiTheme="minorHAnsi" w:cstheme="minorHAnsi"/>
          <w:b/>
          <w:bCs/>
          <w:sz w:val="24"/>
          <w:szCs w:val="24"/>
          <w:lang w:val="en-US"/>
        </w:rPr>
        <w:tab/>
      </w:r>
    </w:p>
    <w:p w14:paraId="2B0A5208" w14:textId="77777777" w:rsidR="00954F56" w:rsidRDefault="00954F56" w:rsidP="00954F56">
      <w:pPr>
        <w:rPr>
          <w:b/>
          <w:bCs/>
        </w:rPr>
      </w:pPr>
      <w:r>
        <w:rPr>
          <w:noProof/>
        </w:rPr>
        <w:drawing>
          <wp:inline distT="0" distB="0" distL="0" distR="0" wp14:anchorId="11624080" wp14:editId="270A92E2">
            <wp:extent cx="5400598" cy="2160000"/>
            <wp:effectExtent l="0" t="0" r="0" b="0"/>
            <wp:docPr id="31131565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59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CB7DB" w14:textId="77777777" w:rsidR="00954F56" w:rsidRPr="00762D96" w:rsidRDefault="00954F56" w:rsidP="00954F56">
      <w:pPr>
        <w:rPr>
          <w:b/>
          <w:bCs/>
        </w:rPr>
      </w:pPr>
    </w:p>
    <w:p w14:paraId="0D462015" w14:textId="77777777" w:rsidR="00EF574F" w:rsidRDefault="00EF574F"/>
    <w:sectPr w:rsidR="00EF57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D04EA"/>
    <w:multiLevelType w:val="hybridMultilevel"/>
    <w:tmpl w:val="7A7439B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62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F56"/>
    <w:rsid w:val="00081A1F"/>
    <w:rsid w:val="00087D1C"/>
    <w:rsid w:val="00133B26"/>
    <w:rsid w:val="00173CDA"/>
    <w:rsid w:val="00242A12"/>
    <w:rsid w:val="00267822"/>
    <w:rsid w:val="002E3334"/>
    <w:rsid w:val="00624AC5"/>
    <w:rsid w:val="00822DF5"/>
    <w:rsid w:val="00894CA1"/>
    <w:rsid w:val="008E2F6E"/>
    <w:rsid w:val="00954F56"/>
    <w:rsid w:val="00961CBF"/>
    <w:rsid w:val="009650E3"/>
    <w:rsid w:val="00AB2B88"/>
    <w:rsid w:val="00AD37CE"/>
    <w:rsid w:val="00B37F73"/>
    <w:rsid w:val="00BC7F69"/>
    <w:rsid w:val="00CC63CB"/>
    <w:rsid w:val="00E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C62703"/>
  <w15:chartTrackingRefBased/>
  <w15:docId w15:val="{8FCA7A4B-F3F9-4FAC-BC24-BF7A51D6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4F56"/>
    <w:rPr>
      <w:rFonts w:ascii="Arial" w:hAnsi="Arial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4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54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54F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4F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4F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4F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4F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4F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4F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4F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54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54F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4F56"/>
    <w:rPr>
      <w:rFonts w:eastAsiaTheme="majorEastAsia" w:cstheme="majorBidi"/>
      <w:i/>
      <w:iCs/>
      <w:color w:val="2F5496" w:themeColor="accent1" w:themeShade="BF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4F56"/>
    <w:rPr>
      <w:rFonts w:eastAsiaTheme="majorEastAsia" w:cstheme="majorBidi"/>
      <w:color w:val="2F5496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4F56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4F56"/>
    <w:rPr>
      <w:rFonts w:eastAsiaTheme="majorEastAsia" w:cstheme="majorBidi"/>
      <w:color w:val="595959" w:themeColor="text1" w:themeTint="A6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4F56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4F56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54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4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4F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4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54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54F56"/>
    <w:rPr>
      <w:rFonts w:ascii="Arial" w:hAnsi="Arial"/>
      <w:i/>
      <w:iCs/>
      <w:color w:val="404040" w:themeColor="text1" w:themeTint="BF"/>
      <w:sz w:val="20"/>
    </w:rPr>
  </w:style>
  <w:style w:type="paragraph" w:styleId="Listenabsatz">
    <w:name w:val="List Paragraph"/>
    <w:basedOn w:val="Standard"/>
    <w:uiPriority w:val="34"/>
    <w:qFormat/>
    <w:rsid w:val="00954F5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54F5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4F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4F56"/>
    <w:rPr>
      <w:rFonts w:ascii="Arial" w:hAnsi="Arial"/>
      <w:i/>
      <w:iCs/>
      <w:color w:val="2F5496" w:themeColor="accent1" w:themeShade="BF"/>
      <w:sz w:val="20"/>
    </w:rPr>
  </w:style>
  <w:style w:type="character" w:styleId="IntensiverVerweis">
    <w:name w:val="Intense Reference"/>
    <w:basedOn w:val="Absatz-Standardschriftart"/>
    <w:uiPriority w:val="32"/>
    <w:qFormat/>
    <w:rsid w:val="00954F56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54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242A12"/>
    <w:pPr>
      <w:spacing w:after="0" w:line="240" w:lineRule="auto"/>
    </w:pPr>
    <w:rPr>
      <w:rFonts w:ascii="Arial" w:hAnsi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2730</Characters>
  <Application>Microsoft Office Word</Application>
  <DocSecurity>0</DocSecurity>
  <Lines>22</Lines>
  <Paragraphs>6</Paragraphs>
  <ScaleCrop>false</ScaleCrop>
  <Company>USZ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Steimer Annik</dc:creator>
  <cp:keywords/>
  <dc:description/>
  <cp:lastModifiedBy>Steimer Annik</cp:lastModifiedBy>
  <cp:revision>13</cp:revision>
  <dcterms:created xsi:type="dcterms:W3CDTF">2026-07-16T07:27:00Z</dcterms:created>
  <dcterms:modified xsi:type="dcterms:W3CDTF">2026-09-25T09:32:00Z</dcterms:modified>
</cp:coreProperties>
</file>