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702" w:rsidRPr="00257044" w:rsidRDefault="00257044" w:rsidP="00673702">
      <w:pPr>
        <w:rPr>
          <w:rFonts w:ascii="Arial" w:hAnsi="Arial" w:cs="Arial"/>
          <w:sz w:val="20"/>
          <w:szCs w:val="20"/>
        </w:rPr>
      </w:pPr>
      <w:r w:rsidRPr="00257044">
        <w:rPr>
          <w:rFonts w:ascii="Arial" w:hAnsi="Arial" w:cs="Arial"/>
          <w:b/>
          <w:sz w:val="20"/>
          <w:szCs w:val="20"/>
        </w:rPr>
        <w:t>Additional file</w:t>
      </w:r>
      <w:r w:rsidR="00673702" w:rsidRPr="00257044">
        <w:rPr>
          <w:rFonts w:ascii="Arial" w:hAnsi="Arial" w:cs="Arial"/>
          <w:b/>
          <w:sz w:val="20"/>
          <w:szCs w:val="20"/>
        </w:rPr>
        <w:t xml:space="preserve"> </w:t>
      </w:r>
      <w:r w:rsidR="00D82003">
        <w:rPr>
          <w:rFonts w:ascii="Arial" w:hAnsi="Arial" w:cs="Arial"/>
          <w:b/>
          <w:sz w:val="20"/>
          <w:szCs w:val="20"/>
        </w:rPr>
        <w:t>2</w:t>
      </w:r>
      <w:bookmarkStart w:id="0" w:name="_GoBack"/>
      <w:bookmarkEnd w:id="0"/>
      <w:r w:rsidR="00673702" w:rsidRPr="00257044">
        <w:rPr>
          <w:rFonts w:ascii="Arial" w:hAnsi="Arial" w:cs="Arial"/>
          <w:b/>
          <w:sz w:val="20"/>
          <w:szCs w:val="20"/>
        </w:rPr>
        <w:t xml:space="preserve">. </w:t>
      </w:r>
      <w:r w:rsidR="00673702" w:rsidRPr="00257044">
        <w:rPr>
          <w:rFonts w:ascii="Arial" w:hAnsi="Arial" w:cs="Arial"/>
          <w:sz w:val="20"/>
          <w:szCs w:val="20"/>
        </w:rPr>
        <w:t>Criteria for the diagnosis of arterial stenosis in individual studies.</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26"/>
        <w:gridCol w:w="1191"/>
        <w:gridCol w:w="1305"/>
        <w:gridCol w:w="1305"/>
        <w:gridCol w:w="1305"/>
        <w:gridCol w:w="1305"/>
        <w:gridCol w:w="1305"/>
      </w:tblGrid>
      <w:tr w:rsidR="00257044" w:rsidRPr="00257044" w:rsidTr="0008405F">
        <w:trPr>
          <w:trHeight w:val="314"/>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line="240" w:lineRule="auto"/>
              <w:jc w:val="center"/>
              <w:rPr>
                <w:rFonts w:ascii="Arial" w:eastAsia="Calibri" w:hAnsi="Arial" w:cs="Arial"/>
                <w:color w:val="000000"/>
                <w:sz w:val="16"/>
                <w:szCs w:val="16"/>
                <w:u w:color="000000"/>
                <w:bdr w:val="nil"/>
                <w:lang w:eastAsia="en-GB"/>
              </w:rPr>
            </w:pPr>
            <w:r w:rsidRPr="00257044">
              <w:rPr>
                <w:rFonts w:ascii="Arial" w:eastAsia="Calibri" w:hAnsi="Arial" w:cs="Arial"/>
                <w:b/>
                <w:bCs/>
                <w:color w:val="000000"/>
                <w:sz w:val="16"/>
                <w:szCs w:val="16"/>
                <w:u w:color="000000"/>
                <w:bdr w:val="nil"/>
                <w:lang w:eastAsia="en-GB"/>
              </w:rPr>
              <w:t>Reference</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57044">
              <w:rPr>
                <w:rFonts w:ascii="Arial" w:eastAsia="Calibri" w:hAnsi="Arial" w:cs="Arial"/>
                <w:b/>
                <w:bCs/>
                <w:color w:val="000000"/>
                <w:sz w:val="16"/>
                <w:szCs w:val="16"/>
                <w:u w:color="000000"/>
                <w:bdr w:val="nil"/>
                <w:lang w:eastAsia="en-GB"/>
              </w:rPr>
              <w:t>MCA</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57044">
              <w:rPr>
                <w:rFonts w:ascii="Arial" w:eastAsia="Calibri" w:hAnsi="Arial" w:cs="Arial"/>
                <w:b/>
                <w:bCs/>
                <w:color w:val="000000"/>
                <w:sz w:val="16"/>
                <w:szCs w:val="16"/>
                <w:u w:color="000000"/>
                <w:bdr w:val="nil"/>
                <w:lang w:eastAsia="en-GB"/>
              </w:rPr>
              <w:t>ICA</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57044">
              <w:rPr>
                <w:rFonts w:ascii="Arial" w:eastAsia="Calibri" w:hAnsi="Arial" w:cs="Arial"/>
                <w:b/>
                <w:bCs/>
                <w:color w:val="000000"/>
                <w:sz w:val="16"/>
                <w:szCs w:val="16"/>
                <w:u w:color="000000"/>
                <w:bdr w:val="nil"/>
                <w:lang w:eastAsia="en-GB"/>
              </w:rPr>
              <w:t>ACA</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57044">
              <w:rPr>
                <w:rFonts w:ascii="Arial" w:eastAsia="Calibri" w:hAnsi="Arial" w:cs="Arial"/>
                <w:b/>
                <w:bCs/>
                <w:color w:val="000000"/>
                <w:sz w:val="16"/>
                <w:szCs w:val="16"/>
                <w:u w:color="000000"/>
                <w:bdr w:val="nil"/>
                <w:lang w:eastAsia="en-GB"/>
              </w:rPr>
              <w:t>PCA</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57044">
              <w:rPr>
                <w:rFonts w:ascii="Arial" w:eastAsia="Calibri" w:hAnsi="Arial" w:cs="Arial"/>
                <w:b/>
                <w:bCs/>
                <w:color w:val="000000"/>
                <w:sz w:val="16"/>
                <w:szCs w:val="16"/>
                <w:u w:color="000000"/>
                <w:bdr w:val="nil"/>
                <w:lang w:eastAsia="en-GB"/>
              </w:rPr>
              <w:t>VA</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57044">
              <w:rPr>
                <w:rFonts w:ascii="Arial" w:eastAsia="Calibri" w:hAnsi="Arial" w:cs="Arial"/>
                <w:b/>
                <w:bCs/>
                <w:color w:val="000000"/>
                <w:sz w:val="16"/>
                <w:szCs w:val="16"/>
                <w:u w:color="000000"/>
                <w:bdr w:val="nil"/>
                <w:lang w:eastAsia="en-GB"/>
              </w:rPr>
              <w:t>BA</w:t>
            </w:r>
          </w:p>
        </w:tc>
      </w:tr>
      <w:tr w:rsidR="00257044" w:rsidRPr="00257044" w:rsidTr="0008405F">
        <w:trPr>
          <w:trHeight w:val="1398"/>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257044">
              <w:rPr>
                <w:rFonts w:ascii="Arial" w:eastAsia="Calibri" w:hAnsi="Arial" w:cs="Arial"/>
                <w:color w:val="000000"/>
                <w:sz w:val="16"/>
                <w:szCs w:val="16"/>
                <w:u w:color="000000"/>
                <w:bdr w:val="nil"/>
                <w:lang w:eastAsia="en-GB"/>
              </w:rPr>
              <w:t>Akopov</w:t>
            </w:r>
            <w:proofErr w:type="spellEnd"/>
            <w:r w:rsidRPr="00257044">
              <w:rPr>
                <w:rFonts w:ascii="Arial" w:eastAsia="Calibri" w:hAnsi="Arial" w:cs="Arial"/>
                <w:color w:val="000000"/>
                <w:sz w:val="16"/>
                <w:szCs w:val="16"/>
                <w:u w:color="000000"/>
                <w:bdr w:val="nil"/>
                <w:lang w:eastAsia="en-GB"/>
              </w:rPr>
              <w:t xml:space="preserve"> 2002</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Abnormal mean flow velocities if higher than the mean±2 SD of control population</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57044" w:rsidRPr="00257044" w:rsidTr="0008405F">
        <w:trPr>
          <w:trHeight w:val="540"/>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Bar 2010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MCA trunk</w:t>
            </w:r>
            <w:r w:rsidR="00A30E11">
              <w:rPr>
                <w:rFonts w:ascii="Arial" w:eastAsia="Calibri" w:hAnsi="Arial" w:cs="Arial"/>
                <w:color w:val="000000"/>
                <w:sz w:val="16"/>
                <w:szCs w:val="16"/>
                <w:u w:color="000000"/>
                <w:bdr w:val="nil"/>
                <w:lang w:eastAsia="en-GB"/>
              </w:rPr>
              <w:t xml:space="preserve"> ≥50% stenosis if PSV &gt; 220 cm/s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Distal ICA ≥50% stenosis if PSV &gt; 220 cm/s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57044" w:rsidRPr="00257044" w:rsidTr="0008405F">
        <w:trPr>
          <w:trHeight w:val="908"/>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257044">
              <w:rPr>
                <w:rFonts w:ascii="Arial" w:eastAsia="Calibri" w:hAnsi="Arial" w:cs="Arial"/>
                <w:color w:val="000000"/>
                <w:sz w:val="16"/>
                <w:szCs w:val="16"/>
                <w:u w:color="000000"/>
                <w:bdr w:val="nil"/>
                <w:lang w:eastAsia="en-GB"/>
              </w:rPr>
              <w:t>Boddu</w:t>
            </w:r>
            <w:proofErr w:type="spellEnd"/>
            <w:r w:rsidRPr="00257044">
              <w:rPr>
                <w:rFonts w:ascii="Arial" w:eastAsia="Calibri" w:hAnsi="Arial" w:cs="Arial"/>
                <w:color w:val="000000"/>
                <w:sz w:val="16"/>
                <w:szCs w:val="16"/>
                <w:u w:color="000000"/>
                <w:bdr w:val="nil"/>
                <w:lang w:eastAsia="en-GB"/>
              </w:rPr>
              <w:t xml:space="preserve"> 2011</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&gt;50% stenosis – PSV 140 cm/s</w:t>
            </w:r>
          </w:p>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&gt;70% stenosis – PSV 180 cm/s</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&gt;50% stenosis – PSV 120 cm/s</w:t>
            </w:r>
          </w:p>
        </w:tc>
        <w:tc>
          <w:tcPr>
            <w:tcW w:w="391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&gt;50% stenosis – PSV 100 cm/s</w:t>
            </w:r>
          </w:p>
        </w:tc>
      </w:tr>
      <w:tr w:rsidR="00257044" w:rsidRPr="00257044" w:rsidTr="0008405F">
        <w:trPr>
          <w:trHeight w:val="2046"/>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257044">
              <w:rPr>
                <w:rFonts w:ascii="Arial" w:eastAsia="Calibri" w:hAnsi="Arial" w:cs="Arial"/>
                <w:color w:val="000000"/>
                <w:sz w:val="16"/>
                <w:szCs w:val="16"/>
                <w:u w:color="000000"/>
                <w:bdr w:val="nil"/>
                <w:lang w:eastAsia="en-GB"/>
              </w:rPr>
              <w:t>Gerriets</w:t>
            </w:r>
            <w:proofErr w:type="spellEnd"/>
            <w:r w:rsidRPr="00257044">
              <w:rPr>
                <w:rFonts w:ascii="Arial" w:eastAsia="Calibri" w:hAnsi="Arial" w:cs="Arial"/>
                <w:color w:val="000000"/>
                <w:sz w:val="16"/>
                <w:szCs w:val="16"/>
                <w:u w:color="000000"/>
                <w:bdr w:val="nil"/>
                <w:lang w:eastAsia="en-GB"/>
              </w:rPr>
              <w:t xml:space="preserve"> 2002</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↑mean systolic blood flow velocity &gt;120 cm/s;</w:t>
            </w:r>
          </w:p>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a side-to-side difference in blood flow velocity &gt;21%; spectral signs of disturbed flow</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57044" w:rsidRPr="00257044" w:rsidTr="0008405F">
        <w:trPr>
          <w:trHeight w:val="391"/>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Guan 2013</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MV &gt; 100 cm/s or SV &gt; 160 cm/s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MV &gt; 80 cm/s or SV &gt; 120 cm/s</w:t>
            </w:r>
          </w:p>
        </w:tc>
        <w:tc>
          <w:tcPr>
            <w:tcW w:w="391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MV &gt;70 cm/s or SV &gt; 100 cm/s</w:t>
            </w:r>
          </w:p>
        </w:tc>
      </w:tr>
      <w:tr w:rsidR="00257044" w:rsidRPr="00257044" w:rsidTr="0008405F">
        <w:trPr>
          <w:trHeight w:val="670"/>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Nasr 2013</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≥50% stenosis threshold -</w:t>
            </w:r>
          </w:p>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MCA (M1) 220 cm/s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≥50% stenosis threshold –</w:t>
            </w:r>
          </w:p>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ACA (A1) 155 cm/s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≥50% stenosis threshold -</w:t>
            </w:r>
          </w:p>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PCA (P1) 145 cm/s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≥50% stenosis threshold -</w:t>
            </w:r>
          </w:p>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120 cm/s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≥50% stenosis threshold -</w:t>
            </w:r>
          </w:p>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140 cm/s</w:t>
            </w:r>
          </w:p>
        </w:tc>
      </w:tr>
      <w:tr w:rsidR="00257044" w:rsidRPr="00257044" w:rsidTr="0008405F">
        <w:trPr>
          <w:trHeight w:val="470"/>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257044">
              <w:rPr>
                <w:rFonts w:ascii="Arial" w:eastAsia="Calibri" w:hAnsi="Arial" w:cs="Arial"/>
                <w:color w:val="000000"/>
                <w:sz w:val="16"/>
                <w:szCs w:val="16"/>
                <w:u w:color="000000"/>
                <w:bdr w:val="nil"/>
                <w:lang w:eastAsia="en-GB"/>
              </w:rPr>
              <w:t>Rathakrishnan</w:t>
            </w:r>
            <w:proofErr w:type="spellEnd"/>
            <w:r w:rsidRPr="00257044">
              <w:rPr>
                <w:rFonts w:ascii="Arial" w:eastAsia="Calibri" w:hAnsi="Arial" w:cs="Arial"/>
                <w:color w:val="000000"/>
                <w:sz w:val="16"/>
                <w:szCs w:val="16"/>
                <w:u w:color="000000"/>
                <w:bdr w:val="nil"/>
                <w:lang w:eastAsia="en-GB"/>
              </w:rPr>
              <w:t xml:space="preserve"> 2008</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Moderate stenosis ≥ 80 cm/s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A30E11" w:rsidRDefault="00A30E11"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Pr>
                <w:rFonts w:ascii="Arial" w:eastAsia="Calibri" w:hAnsi="Arial" w:cs="Arial"/>
                <w:color w:val="000000"/>
                <w:sz w:val="16"/>
                <w:szCs w:val="16"/>
                <w:u w:color="000000"/>
                <w:bdr w:val="nil"/>
                <w:lang w:eastAsia="en-GB"/>
              </w:rPr>
              <w:t>Chernyshev</w:t>
            </w:r>
            <w:proofErr w:type="spellEnd"/>
            <w:r>
              <w:rPr>
                <w:rFonts w:ascii="Arial" w:eastAsia="Calibri" w:hAnsi="Arial" w:cs="Arial"/>
                <w:color w:val="000000"/>
                <w:sz w:val="16"/>
                <w:szCs w:val="16"/>
                <w:u w:color="000000"/>
                <w:bdr w:val="nil"/>
                <w:lang w:eastAsia="en-GB"/>
              </w:rPr>
              <w:t xml:space="preserve"> et al (2005), </w:t>
            </w:r>
            <w:proofErr w:type="spellStart"/>
            <w:r w:rsidRPr="00A30E11">
              <w:rPr>
                <w:rFonts w:ascii="Arial" w:eastAsia="Calibri" w:hAnsi="Arial" w:cs="Arial"/>
                <w:color w:val="000000"/>
                <w:sz w:val="16"/>
                <w:szCs w:val="16"/>
                <w:u w:color="000000"/>
                <w:bdr w:val="nil"/>
                <w:lang w:eastAsia="en-GB"/>
              </w:rPr>
              <w:t>Demchuk</w:t>
            </w:r>
            <w:proofErr w:type="spellEnd"/>
            <w:r>
              <w:rPr>
                <w:rFonts w:ascii="Arial" w:eastAsia="Calibri" w:hAnsi="Arial" w:cs="Arial"/>
                <w:color w:val="000000"/>
                <w:sz w:val="16"/>
                <w:szCs w:val="16"/>
                <w:u w:color="000000"/>
                <w:bdr w:val="nil"/>
                <w:lang w:eastAsia="en-GB"/>
              </w:rPr>
              <w:t xml:space="preserve"> et al (2000)</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391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A30E11"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vertAlign w:val="superscript"/>
                <w:lang w:eastAsia="en-GB"/>
              </w:rPr>
            </w:pPr>
            <w:proofErr w:type="spellStart"/>
            <w:r>
              <w:rPr>
                <w:rFonts w:ascii="Arial" w:eastAsia="Calibri" w:hAnsi="Arial" w:cs="Arial"/>
                <w:color w:val="000000"/>
                <w:sz w:val="16"/>
                <w:szCs w:val="16"/>
                <w:u w:color="000000"/>
                <w:bdr w:val="nil"/>
                <w:lang w:eastAsia="en-GB"/>
              </w:rPr>
              <w:t>Chernyshev</w:t>
            </w:r>
            <w:proofErr w:type="spellEnd"/>
            <w:r>
              <w:rPr>
                <w:rFonts w:ascii="Arial" w:eastAsia="Calibri" w:hAnsi="Arial" w:cs="Arial"/>
                <w:color w:val="000000"/>
                <w:sz w:val="16"/>
                <w:szCs w:val="16"/>
                <w:u w:color="000000"/>
                <w:bdr w:val="nil"/>
                <w:lang w:eastAsia="en-GB"/>
              </w:rPr>
              <w:t xml:space="preserve"> et al (2005), </w:t>
            </w:r>
            <w:proofErr w:type="spellStart"/>
            <w:r w:rsidRPr="00A30E11">
              <w:rPr>
                <w:rFonts w:ascii="Arial" w:eastAsia="Calibri" w:hAnsi="Arial" w:cs="Arial"/>
                <w:color w:val="000000"/>
                <w:sz w:val="16"/>
                <w:szCs w:val="16"/>
                <w:u w:color="000000"/>
                <w:bdr w:val="nil"/>
                <w:lang w:eastAsia="en-GB"/>
              </w:rPr>
              <w:t>Demchuk</w:t>
            </w:r>
            <w:proofErr w:type="spellEnd"/>
            <w:r>
              <w:rPr>
                <w:rFonts w:ascii="Arial" w:eastAsia="Calibri" w:hAnsi="Arial" w:cs="Arial"/>
                <w:color w:val="000000"/>
                <w:sz w:val="16"/>
                <w:szCs w:val="16"/>
                <w:u w:color="000000"/>
                <w:bdr w:val="nil"/>
                <w:lang w:eastAsia="en-GB"/>
              </w:rPr>
              <w:t xml:space="preserve"> et al (2000)</w:t>
            </w:r>
          </w:p>
        </w:tc>
      </w:tr>
      <w:tr w:rsidR="00257044" w:rsidRPr="00257044" w:rsidTr="0008405F">
        <w:trPr>
          <w:trHeight w:val="311"/>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Seidel 2009</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max PSV &gt;160 cm/s</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391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57044" w:rsidRPr="00257044" w:rsidTr="0008405F">
        <w:trPr>
          <w:trHeight w:val="1183"/>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257044">
              <w:rPr>
                <w:rFonts w:ascii="Arial" w:eastAsia="Calibri" w:hAnsi="Arial" w:cs="Arial"/>
                <w:color w:val="000000"/>
                <w:sz w:val="16"/>
                <w:szCs w:val="16"/>
                <w:u w:color="000000"/>
                <w:bdr w:val="nil"/>
                <w:lang w:eastAsia="en-GB"/>
              </w:rPr>
              <w:t>Tsivgoulis</w:t>
            </w:r>
            <w:proofErr w:type="spellEnd"/>
            <w:r w:rsidRPr="00257044">
              <w:rPr>
                <w:rFonts w:ascii="Arial" w:eastAsia="Calibri" w:hAnsi="Arial" w:cs="Arial"/>
                <w:color w:val="000000"/>
                <w:sz w:val="16"/>
                <w:szCs w:val="16"/>
                <w:u w:color="000000"/>
                <w:bdr w:val="nil"/>
                <w:lang w:eastAsia="en-GB"/>
              </w:rPr>
              <w:t xml:space="preserve"> 2007</w:t>
            </w:r>
          </w:p>
        </w:tc>
        <w:tc>
          <w:tcPr>
            <w:tcW w:w="24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A30E11"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A30E11">
              <w:rPr>
                <w:rFonts w:ascii="Arial" w:eastAsia="Calibri" w:hAnsi="Arial" w:cs="Arial"/>
                <w:color w:val="000000"/>
                <w:sz w:val="16"/>
                <w:szCs w:val="16"/>
                <w:u w:color="000000"/>
                <w:bdr w:val="nil"/>
                <w:lang w:eastAsia="en-GB"/>
              </w:rPr>
              <w:fldChar w:fldCharType="begin" w:fldLock="1"/>
            </w:r>
            <w:r w:rsidR="00A30E11" w:rsidRPr="00A30E11">
              <w:rPr>
                <w:rFonts w:ascii="Arial" w:eastAsia="Calibri" w:hAnsi="Arial" w:cs="Arial"/>
                <w:color w:val="000000"/>
                <w:sz w:val="16"/>
                <w:szCs w:val="16"/>
                <w:u w:color="000000"/>
                <w:lang w:eastAsia="en-GB"/>
              </w:rPr>
              <w:instrText>ADDIN CSL_CITATION {"citationItems":[{"id":"ITEM-1","itemData":{"DOI":"10.1111/j.1552-6569.2006.00088.x","ISSN":"1051-2284 (Print)","PMID":"17238867","abstract":"Indications for the clinical use of transcranial Doppler (TCD) continue to expand while scanning protocols and quality of reporting vary between institutions. Based on literature analysis and extensive personal experience, an international expert panel started the development of guidelines for TCD performance, interpretation, and competence. The first part describes complete diagnostic spectral TCD examination for patients with cerebrovascular diseases. Cranial temporal bone windows are used for the detection of the middle cerebral arteries (MCA), anterior cerebral arteries (ACA), posterior cerebral arteries (PCA), C1 segment of the internal carotid arteries (ICA), and collateralization of flow via the anterior (AComA) and posterior (PComA) communicating arteries; orbital windows-for the ophthalmic artery (OA) and ICA siphon; the foraminal window-for the terminal vertebral (VA) and basilar (BA) arteries. Although there is a significant individual variability of the circle of Willis with and without disease, the complete diagnostic TCD examination should include bilateral assessment of the M2 (arbitrarily located at 30-40 mm depth), M1 (40-65 mm) MCA [with M1 MCA mid-point at 50 mm (range 45-55 mm), average length 16 mm (range 5-24 mm), A1 ACA (60-75 mm), C1 ICA (60-70 mm), P1-P2 PCA (average depth 63 mm (range 55-75 mm), AComA (70-80 mm), PComA (58-65 mm), OA (40-50 mm), ICA siphons (55-65 mm), terminal VA (40-75 mm), proximal (75-80), mid (80-90 mm), and distal (90-110 mm) BA]. The distal ICA on the neck (40-60 mm) can be located via submandibular windows to calculate the VMCA/VICA index, or the Lindegaard ratio for vasospasm grading after subarachnoid hemorrhage. Performance goals of diagnostic TCD are to detect and optimize arterial segment-specific spectral waveforms, determine flow direction, measure cerebral blood flow velocities and flow pulsatility in the above-mentioned arteries. These practice standards will assist laboratory accreditation processes by providing a standard scanning protocol with transducer positioning and orientation, depth selection and vessel identification for ultrasound devices equipped with spectral Doppler and power motion Doppler.","author":[{"dropping-particle":"V","family":"Alexandrov","given":"Andrei","non-dropping-particle":"","parse-names":false,"suffix":""},{"dropping-particle":"","family":"Sloan","given":"Michael A","non-dropping-particle":"","parse-names":false,"suffix":""},{"dropping-particle":"","family":"Wong","given":"Lawrence K S","non-dropping-particle":"","parse-names":false,"suffix":""},{"dropping-particle":"","family":"Douville","given":"Colleen","non-dropping-particle":"","parse-names":false,"suffix":""},{"dropping-particle":"","family":"Razumovsky","given":"Alexander Y","non-dropping-particle":"","parse-names":false,"suffix":""},{"dropping-particle":"","family":"Koroshetz","given":"Walter J","non-dropping-particle":"","parse-names":false,"suffix":""},{"dropping-particle":"","family":"Kaps","given":"Manfred","non-dropping-particle":"","parse-names":false,"suffix":""},{"dropping-particle":"","family":"Tegeler","given":"Charles H","non-dropping-particle":"","parse-names":false,"suffix":""}],"container-title":"Journal of neuroimaging : official journal of the American Society of Neuroimaging","id":"ITEM-1","issue":"1","issued":{"date-parts":[["2007","1"]]},"language":"eng","page":"11-18","publisher-place":"United States","title":"Practice standards for transcranial Doppler ultrasound: part I--test performance.","type":"article-journal","volume":"17"},"uris":["http://www.mendeley.com/documents/?uuid=fadf5f98-0cdb-43b9-ab26-9a26a3ed66a6"]},{"id":"ITEM-2","itemData":{"DOI":"10.1161/01.STR.0000150496.27584.e3","ISSN":"1524-4628 (Electronic)","PMID":"15569866","abstract":"BACKGROUND AND PURPOSE: We routinely perform an urgent bedside neurovascular ultrasound examination (NVUE) with carotid/vertebral duplex and transcranial Doppler (TCD) in patients with acute cerebral ischemia. We aimed to determine the yield and accuracy of NVUE to identify lesions amenable for interventional treatment (LAITs). METHODS: NVUE was performed with portable carotid duplex and TCD using standardized fast-track (&lt;15 minutes) insonation protocols. Digital subtraction angiography (DSA) was the gold standard for identifying LAIT. These lesions were defined as proximal intra- or extracranial occlusions, near-occlusions, &gt; or =50% stenoses or thrombus in the symptomatic artery. RESULTS: One hundred and fifty patients (70 women, mean age 66+/-15 years) underwent NVUE at median 128 minutes after symptom onset. Fifty-four patients (36%) received intravenous or intra-arterial thrombolysis (median National Institutes of Health Stroke Scale (NIHSS) score 14, range 4 to 29; 81% had NIHSS &gt; or =10 points). NVUE demonstrated LAITs in 98% of patients eligible for thrombolysis, 76% of acute stroke patients ineligible for thrombolysis (n=63), and 42% in patients with transient ischemic attack (n=33), P&lt;0.001. Urgent DSA was performed in 30 patients on average 230 minutes after NVUE. Compared with DSA, NVUE predicted LAIT presence with 100% sensitivity and 100% specificity, although individual accuracy parameters for TCD and carotid duplex specific to occlusion location ranged 75% to 96% because of the presence of tandem lesions and 10% rate of no temporal windows. CONCLUSIONS: Bedside neurovascular ultrasound examination, combining carotid/vertebral duplex with TCD yields a substantial proportion of LAITs in excellent agreement with urgent DSA.","author":[{"dropping-particle":"","family":"Chernyshev","given":"Oleg Y","non-dropping-particle":"","parse-names":false,"suffix":""},{"dropping-particle":"","family":"Garami","given":"Zsolt","non-dropping-particle":"","parse-names":false,"suffix":""},{"dropping-particle":"","family":"Calleja","given":"Sergio","non-dropping-particle":"","parse-names":false,"suffix":""},{"dropping-particle":"","family":"Song","given":"Joon","non-dropping-particle":"","parse-names":false,"suffix":""},{"dropping-particle":"","family":"Campbell","given":"Morgan S","non-dropping-particle":"","parse-names":false,"suffix":""},{"dropping-particle":"","family":"Noser","given":"Elizabeth A","non-dropping-particle":"","parse-names":false,"suffix":""},{"dropping-particle":"","family":"Shaltoni","given":"Hashem","non-dropping-particle":"","parse-names":false,"suffix":""},{"dropping-particle":"","family":"Chen","given":"Chin-I","non-dropping-particle":"","parse-names":false,"suffix":""},{"dropping-particle":"","family":"Iguchi","given":"Yasuyuki","non-dropping-particle":"","parse-names":false,"suffix":""},{"dropping-particle":"","family":"Grotta","given":"James C","non-dropping-particle":"","parse-names":false,"suffix":""},{"dropping-particle":"V","family":"Alexandrov","given":"Andrei","non-dropping-particle":"","parse-names":false,"suffix":""}],"container-title":"Stroke","id":"ITEM-2","issue":"1","issued":{"date-parts":[["2005","1"]]},"language":"eng","page":"32-37","publisher-place":"United States","title":"Yield and accuracy of urgent combined carotid/transcranial ultrasound testing in  acute cerebral ischemia.","type":"article-journal","volume":"36"},"uris":["http://www.mendeley.com/documents/?uuid=de3ee672-32b3-40d6-bb45-86d6597b1bcc"]},{"id":"ITEM-3","itemData":{"DOI":"10.1056/NEJMoa041175","ISSN":"1533-4406 (Electronic)","PMID":"15548777","abstract":"BACKGROUND: Transcranial Doppler ultrasonography that is aimed at residual obstructive intracranial blood flow may help expose thrombi to tissue plasminogen activator (t-PA). Our objective was to determine whether ultrasonography can safely enhance the thrombolytic activity of t-PA. METHODS: We treated all patients who had acute ischemic stroke due to occlusion of the middle cerebral artery with intravenous t-PA within three hours after the onset of symptoms. The patients were randomly assigned to receive continuous 2-MHz transcranial Doppler ultrasonography (the target group) or placebo (the control group). The primary combined end point was complete recanalization as assessed by transcranial Doppler ultrasonography or dramatic clinical recovery. Secondary end points included recovery at 24 hours, a favorable outcome at three months, and death at three months. RESULTS: A total of 126 patients were randomly assigned to receive continuous ultrasonography (63 patients) or placebo (63 patients). Symptomatic intracerebral hemorrhage occurred in three patients in the target group and in three in the control group. Complete recanalization or dramatic clinical recovery within two hours after the administration of a t-PA bolus occurred in 31 patients in the target group (49 percent), as compared with 19 patients in the control group (30 percent; P=0.03). Twenty-four hours after treatment of the patients eligible for follow-up, 24 in the target group (44 percent) and 21 in the control group (40 percent) had dramatic clinical recovery (P=0.7). At three months, 22 of 53 patients in the target group who were eligible for follow-up analysis (42 percent) and 14 of 49 in the control group (29 percent) had favorable outcomes (as indicated by a score of 0 to 1 on the modified Rankin scale) (P=0.20). CONCLUSIONS: In patients with acute ischemic stroke, continuous transcranial Doppler augments t-PA-induced arterial recanalization, with a nonsignificant trend toward an increased rate of recovery from stroke, as compared with placebo.","author":[{"dropping-particle":"V","family":"Alexandrov","given":"Andrei","non-dropping-particle":"","parse-names":false,"suffix":""},{"dropping-particle":"","family":"Molina","given":"Carlos A","non-dropping-particle":"","parse-names":false,"suffix":""},{"dropping-particle":"","family":"Grotta","given":"James C","non-dropping-particle":"","parse-names":false,"suffix":""},{"dropping-particle":"","family":"Garami","given":"Zsolt","non-dropping-particle":"","parse-names":false,"suffix":""},{"dropping-particle":"","family":"Ford","given":"Shiela R","non-dropping-particle":"","parse-names":false,"suffix":""},{"dropping-particle":"","family":"Alvarez-Sabin","given":"Jose","non-dropping-particle":"","parse-names":false,"suffix":""},{"dropping-particle":"","family":"Montaner","given":"Joan","non-dropping-particle":"","parse-names":false,"suffix":""},{"dropping-particle":"","family":"Saqqur","given":"Maher","non-dropping-particle":"","parse-names":false,"suffix":""},{"dropping-particle":"","family":"Demchuk","given":"Andrew M","non-dropping-particle":"","parse-names":false,"suffix":""},{"dropping-particle":"","family":"Moye","given":"Lemuel A","non-dropping-particle":"","parse-names":false,"suffix":""},{"dropping-particle":"","family":"Hill","given":"Michael D","non-dropping-particle":"","parse-names":false,"suffix":""},{"dropping-particle":"","family":"Wojner","given":"Anne W","non-dropping-particle":"","parse-names":false,"suffix":""}],"container-title":"The New England journal of medicine","id":"ITEM-3","issue":"21","issued":{"date-parts":[["2004","11"]]},"language":"eng","page":"2170-2178","publisher-place":"United States","title":"Ultrasound-enhanced systemic thrombolysis for acute ischemic stroke.","type":"article-journal","volume":"351"},"uris":["http://www.mendeley.com/documents/?uuid=a04d85d7-a552-4919-9784-cef0ff7aa2ae"]}],"mendeley":{"formattedCitation":"&lt;sup&gt;8&lt;/sup&gt;,&lt;sup&gt;13&lt;/sup&gt;,&lt;sup&gt;14&lt;/sup&gt;","plainTextFormattedCitation":"8,13,14","previouslyFormattedCitation":"[66,68,70]"},"properties":{"noteIndex":0},"schema":"https://github.com/citation-style-language/schema/raw/master/csl-citation.json"}</w:instrText>
            </w:r>
            <w:r w:rsidRPr="00A30E11">
              <w:rPr>
                <w:rFonts w:ascii="Arial" w:eastAsia="Calibri" w:hAnsi="Arial" w:cs="Arial"/>
                <w:color w:val="000000"/>
                <w:sz w:val="16"/>
                <w:szCs w:val="16"/>
                <w:u w:color="000000"/>
                <w:bdr w:val="nil"/>
                <w:lang w:eastAsia="en-GB"/>
              </w:rPr>
              <w:fldChar w:fldCharType="end"/>
            </w:r>
            <w:proofErr w:type="spellStart"/>
            <w:r w:rsidR="00A30E11" w:rsidRPr="00A30E11">
              <w:rPr>
                <w:rFonts w:ascii="Arial" w:eastAsia="Calibri" w:hAnsi="Arial" w:cs="Arial"/>
                <w:color w:val="000000"/>
                <w:sz w:val="16"/>
                <w:szCs w:val="16"/>
                <w:u w:color="000000"/>
                <w:bdr w:val="nil"/>
                <w:lang w:eastAsia="en-GB"/>
              </w:rPr>
              <w:t>Chernyshev</w:t>
            </w:r>
            <w:proofErr w:type="spellEnd"/>
            <w:r w:rsidR="00A30E11" w:rsidRPr="00A30E11">
              <w:rPr>
                <w:rFonts w:ascii="Arial" w:eastAsia="Calibri" w:hAnsi="Arial" w:cs="Arial"/>
                <w:color w:val="000000"/>
                <w:sz w:val="16"/>
                <w:szCs w:val="16"/>
                <w:u w:color="000000"/>
                <w:bdr w:val="nil"/>
                <w:lang w:eastAsia="en-GB"/>
              </w:rPr>
              <w:t xml:space="preserve"> et al (2005), </w:t>
            </w:r>
            <w:proofErr w:type="spellStart"/>
            <w:r w:rsidR="00A30E11" w:rsidRPr="00A30E11">
              <w:rPr>
                <w:rFonts w:ascii="Arial" w:eastAsia="Calibri" w:hAnsi="Arial" w:cs="Arial"/>
                <w:color w:val="000000"/>
                <w:sz w:val="16"/>
                <w:szCs w:val="16"/>
                <w:u w:color="000000"/>
                <w:bdr w:val="nil"/>
                <w:lang w:eastAsia="en-GB"/>
              </w:rPr>
              <w:t>Alexandrov</w:t>
            </w:r>
            <w:proofErr w:type="spellEnd"/>
            <w:r w:rsidR="00A30E11" w:rsidRPr="00A30E11">
              <w:rPr>
                <w:rFonts w:ascii="Arial" w:eastAsia="Calibri" w:hAnsi="Arial" w:cs="Arial"/>
                <w:color w:val="000000"/>
                <w:sz w:val="16"/>
                <w:szCs w:val="16"/>
                <w:u w:color="000000"/>
                <w:bdr w:val="nil"/>
                <w:lang w:eastAsia="en-GB"/>
              </w:rPr>
              <w:t xml:space="preserve"> et al (2004, </w:t>
            </w:r>
            <w:r w:rsidR="00A30E11">
              <w:rPr>
                <w:rFonts w:ascii="Arial" w:eastAsia="Calibri" w:hAnsi="Arial" w:cs="Arial"/>
                <w:color w:val="000000"/>
                <w:sz w:val="16"/>
                <w:szCs w:val="16"/>
                <w:u w:color="000000"/>
                <w:bdr w:val="nil"/>
                <w:lang w:eastAsia="en-GB"/>
              </w:rPr>
              <w:t>2007)</w:t>
            </w:r>
            <w:r w:rsidR="00A30E11" w:rsidRPr="00A30E11">
              <w:rPr>
                <w:rFonts w:ascii="Arial" w:eastAsia="Calibri" w:hAnsi="Arial" w:cs="Arial"/>
                <w:color w:val="000000"/>
                <w:sz w:val="16"/>
                <w:szCs w:val="16"/>
                <w:u w:color="000000"/>
                <w:bdr w:val="nil"/>
                <w:lang w:eastAsia="en-GB"/>
              </w:rPr>
              <w:t xml:space="preserve"> </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MFV ≥80 cm/s and ≥30% difference compared wi</w:t>
            </w:r>
            <w:r w:rsidR="00A30E11">
              <w:rPr>
                <w:rFonts w:ascii="Arial" w:eastAsia="Calibri" w:hAnsi="Arial" w:cs="Arial"/>
                <w:color w:val="000000"/>
                <w:sz w:val="16"/>
                <w:szCs w:val="16"/>
                <w:u w:color="000000"/>
                <w:bdr w:val="nil"/>
                <w:lang w:eastAsia="en-GB"/>
              </w:rPr>
              <w:t>th the contralateral ACA segment</w:t>
            </w:r>
          </w:p>
        </w:tc>
        <w:tc>
          <w:tcPr>
            <w:tcW w:w="391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A30E11" w:rsidRDefault="00A30E11"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A30E11">
              <w:rPr>
                <w:rFonts w:ascii="Arial" w:eastAsia="Calibri" w:hAnsi="Arial" w:cs="Arial"/>
                <w:color w:val="000000"/>
                <w:sz w:val="16"/>
                <w:szCs w:val="16"/>
                <w:u w:color="000000"/>
                <w:bdr w:val="nil"/>
                <w:lang w:eastAsia="en-GB"/>
              </w:rPr>
              <w:t>Chernyshev</w:t>
            </w:r>
            <w:proofErr w:type="spellEnd"/>
            <w:r w:rsidRPr="00A30E11">
              <w:rPr>
                <w:rFonts w:ascii="Arial" w:eastAsia="Calibri" w:hAnsi="Arial" w:cs="Arial"/>
                <w:color w:val="000000"/>
                <w:sz w:val="16"/>
                <w:szCs w:val="16"/>
                <w:u w:color="000000"/>
                <w:bdr w:val="nil"/>
                <w:lang w:eastAsia="en-GB"/>
              </w:rPr>
              <w:t xml:space="preserve"> et al (2005), </w:t>
            </w:r>
            <w:proofErr w:type="spellStart"/>
            <w:r w:rsidRPr="00A30E11">
              <w:rPr>
                <w:rFonts w:ascii="Arial" w:eastAsia="Calibri" w:hAnsi="Arial" w:cs="Arial"/>
                <w:color w:val="000000"/>
                <w:sz w:val="16"/>
                <w:szCs w:val="16"/>
                <w:u w:color="000000"/>
                <w:bdr w:val="nil"/>
                <w:lang w:eastAsia="en-GB"/>
              </w:rPr>
              <w:t>Alexandrov</w:t>
            </w:r>
            <w:proofErr w:type="spellEnd"/>
            <w:r w:rsidRPr="00A30E11">
              <w:rPr>
                <w:rFonts w:ascii="Arial" w:eastAsia="Calibri" w:hAnsi="Arial" w:cs="Arial"/>
                <w:color w:val="000000"/>
                <w:sz w:val="16"/>
                <w:szCs w:val="16"/>
                <w:u w:color="000000"/>
                <w:bdr w:val="nil"/>
                <w:lang w:eastAsia="en-GB"/>
              </w:rPr>
              <w:t xml:space="preserve"> et al (2004, 2007)</w:t>
            </w:r>
          </w:p>
        </w:tc>
      </w:tr>
      <w:tr w:rsidR="00257044" w:rsidRPr="00257044" w:rsidTr="0008405F">
        <w:trPr>
          <w:trHeight w:val="297"/>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257044">
              <w:rPr>
                <w:rFonts w:ascii="Arial" w:eastAsia="Calibri" w:hAnsi="Arial" w:cs="Arial"/>
                <w:color w:val="000000"/>
                <w:sz w:val="16"/>
                <w:szCs w:val="16"/>
                <w:u w:color="000000"/>
                <w:bdr w:val="nil"/>
                <w:lang w:eastAsia="en-GB"/>
              </w:rPr>
              <w:t>Tsivgoulis</w:t>
            </w:r>
            <w:proofErr w:type="spellEnd"/>
            <w:r w:rsidRPr="00257044">
              <w:rPr>
                <w:rFonts w:ascii="Arial" w:eastAsia="Calibri" w:hAnsi="Arial" w:cs="Arial"/>
                <w:color w:val="000000"/>
                <w:sz w:val="16"/>
                <w:szCs w:val="16"/>
                <w:u w:color="000000"/>
                <w:bdr w:val="nil"/>
                <w:lang w:eastAsia="en-GB"/>
              </w:rPr>
              <w:t xml:space="preserve"> 2008</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391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50%-stenosis MFV &gt; 80 cm/s and when the stenotic-to-normal MFV ratio was 2</w:t>
            </w:r>
          </w:p>
        </w:tc>
      </w:tr>
      <w:tr w:rsidR="00257044" w:rsidRPr="00257044" w:rsidTr="0008405F">
        <w:trPr>
          <w:trHeight w:val="204"/>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Viola 1993</w:t>
            </w:r>
          </w:p>
        </w:tc>
        <w:tc>
          <w:tcPr>
            <w:tcW w:w="7716"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Comparison was made with healthy controls</w:t>
            </w:r>
          </w:p>
        </w:tc>
      </w:tr>
      <w:tr w:rsidR="00257044" w:rsidRPr="00257044" w:rsidTr="0008405F">
        <w:trPr>
          <w:trHeight w:val="664"/>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Wada et al 2002</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M1 stenosis &gt;50%: PSFV of M1 &gt; 180 cm/s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PCA (P2 segment) stenosis &gt; 50%: PSFV &gt; 200 cm/s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57044" w:rsidRPr="00257044" w:rsidTr="0008405F">
        <w:trPr>
          <w:trHeight w:val="204"/>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A30E11">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257044">
              <w:rPr>
                <w:rFonts w:ascii="Arial" w:eastAsia="Calibri" w:hAnsi="Arial" w:cs="Arial"/>
                <w:color w:val="000000"/>
                <w:sz w:val="16"/>
                <w:szCs w:val="16"/>
                <w:u w:color="000000"/>
                <w:bdr w:val="nil"/>
                <w:lang w:eastAsia="en-GB"/>
              </w:rPr>
              <w:lastRenderedPageBreak/>
              <w:t>Zubkov</w:t>
            </w:r>
            <w:proofErr w:type="spellEnd"/>
            <w:r w:rsidRPr="00257044">
              <w:rPr>
                <w:rFonts w:ascii="Arial" w:eastAsia="Calibri" w:hAnsi="Arial" w:cs="Arial"/>
                <w:color w:val="000000"/>
                <w:sz w:val="16"/>
                <w:szCs w:val="16"/>
                <w:u w:color="000000"/>
                <w:bdr w:val="nil"/>
                <w:lang w:eastAsia="en-GB"/>
              </w:rPr>
              <w:t xml:space="preserve"> 2008</w:t>
            </w:r>
          </w:p>
        </w:tc>
        <w:tc>
          <w:tcPr>
            <w:tcW w:w="7716"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7044" w:rsidRPr="00257044" w:rsidRDefault="0025704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257044">
              <w:rPr>
                <w:rFonts w:ascii="Arial" w:eastAsia="Calibri" w:hAnsi="Arial" w:cs="Arial"/>
                <w:color w:val="000000"/>
                <w:sz w:val="16"/>
                <w:szCs w:val="16"/>
                <w:u w:color="000000"/>
                <w:bdr w:val="nil"/>
                <w:lang w:eastAsia="en-GB"/>
              </w:rPr>
              <w:t>Not specified</w:t>
            </w:r>
          </w:p>
        </w:tc>
      </w:tr>
    </w:tbl>
    <w:p w:rsidR="00AA2F87" w:rsidRPr="00257044" w:rsidRDefault="00AA2F87">
      <w:pPr>
        <w:rPr>
          <w:rFonts w:ascii="Arial" w:hAnsi="Arial" w:cs="Arial"/>
        </w:rPr>
      </w:pPr>
    </w:p>
    <w:p w:rsidR="00A970F9" w:rsidRDefault="00A970F9" w:rsidP="00A970F9">
      <w:pPr>
        <w:rPr>
          <w:rFonts w:ascii="Arial" w:eastAsia="Calibri" w:hAnsi="Arial" w:cs="Arial"/>
          <w:color w:val="000000"/>
          <w:sz w:val="20"/>
          <w:szCs w:val="20"/>
          <w:u w:color="000000"/>
          <w:lang w:eastAsia="en-GB"/>
        </w:rPr>
      </w:pPr>
      <w:r w:rsidRPr="00BE570E">
        <w:rPr>
          <w:rFonts w:ascii="Arial" w:eastAsia="Calibri" w:hAnsi="Arial" w:cs="Arial"/>
          <w:iCs/>
          <w:color w:val="000000"/>
          <w:sz w:val="20"/>
          <w:szCs w:val="20"/>
          <w:u w:color="000000"/>
          <w:lang w:eastAsia="en-GB"/>
        </w:rPr>
        <w:t>Abbreviations:</w:t>
      </w:r>
      <w:r w:rsidRPr="00BE570E">
        <w:rPr>
          <w:rFonts w:ascii="Arial" w:eastAsia="Calibri" w:hAnsi="Arial" w:cs="Arial"/>
          <w:color w:val="000000"/>
          <w:sz w:val="20"/>
          <w:szCs w:val="20"/>
          <w:u w:color="000000"/>
          <w:lang w:eastAsia="en-GB"/>
        </w:rPr>
        <w:t xml:space="preserve"> ACA – anterior cerebral artery; AI – asymmetry index; BA – basilar artery; ICA – internal carotid artery; MCA – middle cerebral artery; MFV – mean flow velocity; PCA – posterior cerebral artery; </w:t>
      </w:r>
      <w:proofErr w:type="spellStart"/>
      <w:r w:rsidRPr="00BE570E">
        <w:rPr>
          <w:rFonts w:ascii="Arial" w:eastAsia="Calibri" w:hAnsi="Arial" w:cs="Arial"/>
          <w:color w:val="000000"/>
          <w:sz w:val="20"/>
          <w:szCs w:val="20"/>
          <w:u w:color="000000"/>
          <w:lang w:eastAsia="en-GB"/>
        </w:rPr>
        <w:t>PCom</w:t>
      </w:r>
      <w:proofErr w:type="spellEnd"/>
      <w:r w:rsidRPr="00BE570E">
        <w:rPr>
          <w:rFonts w:ascii="Arial" w:eastAsia="Calibri" w:hAnsi="Arial" w:cs="Arial"/>
          <w:color w:val="000000"/>
          <w:sz w:val="20"/>
          <w:szCs w:val="20"/>
          <w:u w:color="000000"/>
          <w:lang w:eastAsia="en-GB"/>
        </w:rPr>
        <w:t xml:space="preserve"> – posterior communicating artery; PSFV – peak systolic flow velocity; VA – vertebral artery. </w:t>
      </w:r>
    </w:p>
    <w:p w:rsidR="00673702" w:rsidRPr="00257044" w:rsidRDefault="00673702">
      <w:pPr>
        <w:rPr>
          <w:rFonts w:ascii="Arial" w:hAnsi="Arial" w:cs="Arial"/>
        </w:rPr>
      </w:pPr>
    </w:p>
    <w:p w:rsidR="00673702" w:rsidRPr="00257044" w:rsidRDefault="00673702">
      <w:pPr>
        <w:rPr>
          <w:rFonts w:ascii="Arial" w:hAnsi="Arial" w:cs="Arial"/>
        </w:rPr>
      </w:pPr>
    </w:p>
    <w:p w:rsidR="00AA2F87" w:rsidRPr="00257044" w:rsidRDefault="00AA2F87">
      <w:pPr>
        <w:rPr>
          <w:rFonts w:ascii="Arial" w:hAnsi="Arial" w:cs="Arial"/>
        </w:rPr>
      </w:pPr>
    </w:p>
    <w:p w:rsidR="00AA2F87" w:rsidRPr="00257044" w:rsidRDefault="00AA2F87">
      <w:pPr>
        <w:rPr>
          <w:rFonts w:ascii="Arial" w:hAnsi="Arial" w:cs="Arial"/>
        </w:rPr>
      </w:pPr>
    </w:p>
    <w:p w:rsidR="00673702" w:rsidRPr="00257044" w:rsidRDefault="00673702" w:rsidP="00673702">
      <w:pPr>
        <w:spacing w:line="240" w:lineRule="auto"/>
        <w:rPr>
          <w:rFonts w:ascii="Arial" w:eastAsia="Arial Unicode MS" w:hAnsi="Arial" w:cs="Arial"/>
          <w:b/>
          <w:sz w:val="20"/>
          <w:szCs w:val="20"/>
          <w:bdr w:val="nil"/>
        </w:rPr>
      </w:pPr>
    </w:p>
    <w:p w:rsidR="00AA2F87" w:rsidRPr="00257044" w:rsidRDefault="00AA2F87" w:rsidP="00AA2F87">
      <w:pPr>
        <w:pBdr>
          <w:top w:val="nil"/>
          <w:left w:val="nil"/>
          <w:bottom w:val="nil"/>
          <w:right w:val="nil"/>
          <w:between w:val="nil"/>
          <w:bar w:val="nil"/>
        </w:pBdr>
        <w:spacing w:line="240" w:lineRule="auto"/>
        <w:rPr>
          <w:rFonts w:ascii="Arial" w:eastAsia="Arial" w:hAnsi="Arial" w:cs="Arial"/>
          <w:color w:val="000000"/>
          <w:sz w:val="20"/>
          <w:szCs w:val="20"/>
          <w:u w:color="000000"/>
          <w:bdr w:val="nil"/>
          <w:lang w:eastAsia="en-GB"/>
        </w:rPr>
      </w:pPr>
    </w:p>
    <w:p w:rsidR="00AA2F87" w:rsidRPr="00257044" w:rsidRDefault="00AA2F87" w:rsidP="00673702">
      <w:pPr>
        <w:pBdr>
          <w:top w:val="nil"/>
          <w:left w:val="nil"/>
          <w:bottom w:val="nil"/>
          <w:right w:val="nil"/>
          <w:between w:val="nil"/>
          <w:bar w:val="nil"/>
        </w:pBdr>
        <w:spacing w:line="240" w:lineRule="auto"/>
        <w:rPr>
          <w:rFonts w:ascii="Arial" w:eastAsia="Calibri" w:hAnsi="Arial" w:cs="Arial"/>
          <w:color w:val="000000"/>
          <w:sz w:val="20"/>
          <w:szCs w:val="20"/>
          <w:u w:color="000000"/>
          <w:bdr w:val="nil"/>
          <w:lang w:eastAsia="en-GB"/>
        </w:rPr>
      </w:pPr>
    </w:p>
    <w:p w:rsidR="00673702" w:rsidRPr="00257044" w:rsidRDefault="00673702" w:rsidP="00673702">
      <w:pPr>
        <w:spacing w:line="240" w:lineRule="auto"/>
        <w:rPr>
          <w:rFonts w:ascii="Arial" w:hAnsi="Arial" w:cs="Arial"/>
          <w:sz w:val="20"/>
          <w:szCs w:val="20"/>
        </w:rPr>
      </w:pPr>
    </w:p>
    <w:p w:rsidR="00673702" w:rsidRPr="00257044" w:rsidRDefault="00673702">
      <w:pPr>
        <w:rPr>
          <w:rFonts w:ascii="Arial" w:hAnsi="Arial" w:cs="Arial"/>
        </w:rPr>
      </w:pPr>
    </w:p>
    <w:p w:rsidR="00673702" w:rsidRPr="00257044" w:rsidRDefault="00673702">
      <w:pPr>
        <w:rPr>
          <w:rFonts w:ascii="Arial" w:hAnsi="Arial" w:cs="Arial"/>
        </w:rPr>
      </w:pPr>
    </w:p>
    <w:p w:rsidR="00673702" w:rsidRPr="00257044" w:rsidRDefault="00673702">
      <w:pPr>
        <w:rPr>
          <w:rFonts w:ascii="Arial" w:hAnsi="Arial" w:cs="Arial"/>
        </w:rPr>
      </w:pPr>
    </w:p>
    <w:p w:rsidR="00673702" w:rsidRPr="00257044" w:rsidRDefault="00673702">
      <w:pPr>
        <w:rPr>
          <w:rFonts w:ascii="Arial" w:hAnsi="Arial" w:cs="Arial"/>
        </w:rPr>
      </w:pPr>
    </w:p>
    <w:p w:rsidR="00673702" w:rsidRPr="00257044" w:rsidRDefault="00673702">
      <w:pPr>
        <w:rPr>
          <w:rFonts w:ascii="Arial" w:hAnsi="Arial" w:cs="Arial"/>
        </w:rPr>
      </w:pPr>
    </w:p>
    <w:p w:rsidR="00673702" w:rsidRPr="00257044" w:rsidRDefault="00673702">
      <w:pPr>
        <w:rPr>
          <w:rFonts w:ascii="Arial" w:hAnsi="Arial" w:cs="Arial"/>
        </w:rPr>
      </w:pPr>
    </w:p>
    <w:p w:rsidR="00673702" w:rsidRPr="00257044" w:rsidRDefault="00673702">
      <w:pPr>
        <w:rPr>
          <w:rFonts w:ascii="Arial" w:hAnsi="Arial" w:cs="Arial"/>
        </w:rPr>
      </w:pPr>
    </w:p>
    <w:p w:rsidR="00673702" w:rsidRPr="00257044" w:rsidRDefault="00673702">
      <w:pPr>
        <w:rPr>
          <w:rFonts w:ascii="Arial" w:hAnsi="Arial" w:cs="Arial"/>
        </w:rPr>
      </w:pPr>
    </w:p>
    <w:p w:rsidR="00673702" w:rsidRPr="00257044" w:rsidRDefault="00673702">
      <w:pPr>
        <w:rPr>
          <w:rFonts w:ascii="Arial" w:hAnsi="Arial" w:cs="Arial"/>
        </w:rPr>
      </w:pPr>
    </w:p>
    <w:p w:rsidR="00673702" w:rsidRPr="00257044" w:rsidRDefault="00673702">
      <w:pPr>
        <w:rPr>
          <w:rFonts w:ascii="Arial" w:hAnsi="Arial" w:cs="Arial"/>
        </w:rPr>
      </w:pPr>
    </w:p>
    <w:p w:rsidR="00673702" w:rsidRPr="00257044" w:rsidRDefault="00673702">
      <w:pPr>
        <w:rPr>
          <w:rFonts w:ascii="Arial" w:hAnsi="Arial" w:cs="Arial"/>
        </w:rPr>
      </w:pPr>
    </w:p>
    <w:sectPr w:rsidR="00673702" w:rsidRPr="00257044" w:rsidSect="00AA2F87">
      <w:footerReference w:type="default" r:id="rId7"/>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F87" w:rsidRDefault="00AA2F87">
      <w:pPr>
        <w:spacing w:after="0" w:line="240" w:lineRule="auto"/>
      </w:pPr>
      <w:r>
        <w:separator/>
      </w:r>
    </w:p>
  </w:endnote>
  <w:endnote w:type="continuationSeparator" w:id="0">
    <w:p w:rsidR="00AA2F87" w:rsidRDefault="00AA2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434039"/>
      <w:docPartObj>
        <w:docPartGallery w:val="Page Numbers (Bottom of Page)"/>
        <w:docPartUnique/>
      </w:docPartObj>
    </w:sdtPr>
    <w:sdtEndPr>
      <w:rPr>
        <w:noProof/>
      </w:rPr>
    </w:sdtEndPr>
    <w:sdtContent>
      <w:p w:rsidR="00AA2F87" w:rsidRDefault="00AA2F87">
        <w:pPr>
          <w:pStyle w:val="Footer"/>
          <w:jc w:val="right"/>
        </w:pPr>
        <w:r>
          <w:fldChar w:fldCharType="begin"/>
        </w:r>
        <w:r>
          <w:instrText xml:space="preserve"> PAGE   \* MERGEFORMAT </w:instrText>
        </w:r>
        <w:r>
          <w:fldChar w:fldCharType="separate"/>
        </w:r>
        <w:r w:rsidR="00D82003">
          <w:rPr>
            <w:noProof/>
          </w:rPr>
          <w:t>2</w:t>
        </w:r>
        <w:r>
          <w:rPr>
            <w:noProof/>
          </w:rPr>
          <w:fldChar w:fldCharType="end"/>
        </w:r>
      </w:p>
    </w:sdtContent>
  </w:sdt>
  <w:p w:rsidR="00AA2F87" w:rsidRDefault="00AA2F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F87" w:rsidRDefault="00AA2F87">
      <w:pPr>
        <w:spacing w:after="0" w:line="240" w:lineRule="auto"/>
      </w:pPr>
      <w:r>
        <w:separator/>
      </w:r>
    </w:p>
  </w:footnote>
  <w:footnote w:type="continuationSeparator" w:id="0">
    <w:p w:rsidR="00AA2F87" w:rsidRDefault="00AA2F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7F2"/>
    <w:rsid w:val="001067F2"/>
    <w:rsid w:val="002343E8"/>
    <w:rsid w:val="00257044"/>
    <w:rsid w:val="00673702"/>
    <w:rsid w:val="006E58DB"/>
    <w:rsid w:val="00A30E11"/>
    <w:rsid w:val="00A970F9"/>
    <w:rsid w:val="00AA2F87"/>
    <w:rsid w:val="00C64E29"/>
    <w:rsid w:val="00D82003"/>
    <w:rsid w:val="00F65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9EF5C409-8CBF-4EC5-8DB3-5E87E4D1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7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37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C5F0BAA-6D25-41B0-9A0B-58139B135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2040</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13647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Antipova, Daria</dc:creator>
  <cp:keywords/>
  <dc:description/>
  <cp:lastModifiedBy>Antipova, Daria</cp:lastModifiedBy>
  <cp:revision>7</cp:revision>
  <cp:lastPrinted>2018-12-16T12:21:00Z</cp:lastPrinted>
  <dcterms:created xsi:type="dcterms:W3CDTF">2018-12-09T19:47:00Z</dcterms:created>
  <dcterms:modified xsi:type="dcterms:W3CDTF">2019-09-03T09:49:00Z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http://www.zotero.org/styles/harvard1</vt:lpwstr>
  </property>
  <property fmtid="{D5CDD505-2E9C-101B-9397-08002B2CF9AE}" pid="3" name="Mendeley Recent Style Name 0_1">
    <vt:lpwstr>Harvard reference format 1 (deprecated)</vt:lpwstr>
  </property>
  <property fmtid="{D5CDD505-2E9C-101B-9397-08002B2CF9AE}" pid="4" name="Mendeley Recent Style Id 1_1">
    <vt:lpwstr>http://csl.mendeley.com/styles/517355201/vancouverLancet-3</vt:lpwstr>
  </property>
  <property fmtid="{D5CDD505-2E9C-101B-9397-08002B2CF9AE}" pid="5" name="Mendeley Recent Style Name 1_1">
    <vt:lpwstr>Vancouver</vt:lpwstr>
  </property>
  <property fmtid="{D5CDD505-2E9C-101B-9397-08002B2CF9AE}" pid="6" name="Mendeley Recent Style Id 2_1">
    <vt:lpwstr>http://csl.mendeley.com/styles/517355201/vancouverLancet</vt:lpwstr>
  </property>
  <property fmtid="{D5CDD505-2E9C-101B-9397-08002B2CF9AE}" pid="7" name="Mendeley Recent Style Name 2_1">
    <vt:lpwstr>Vancouver</vt:lpwstr>
  </property>
  <property fmtid="{D5CDD505-2E9C-101B-9397-08002B2CF9AE}" pid="8" name="Mendeley Recent Style Id 3_1">
    <vt:lpwstr>http://www.zotero.org/styles/vancouver</vt:lpwstr>
  </property>
  <property fmtid="{D5CDD505-2E9C-101B-9397-08002B2CF9AE}" pid="9" name="Mendeley Recent Style Name 3_1">
    <vt:lpwstr>Vancouver</vt:lpwstr>
  </property>
  <property fmtid="{D5CDD505-2E9C-101B-9397-08002B2CF9AE}" pid="10" name="Mendeley Recent Style Id 4_1">
    <vt:lpwstr>http://csl.mendeley.com/styles/517355201/vancouverLancet-2</vt:lpwstr>
  </property>
  <property fmtid="{D5CDD505-2E9C-101B-9397-08002B2CF9AE}" pid="11" name="Mendeley Recent Style Name 4_1">
    <vt:lpwstr>Vancouver</vt:lpwstr>
  </property>
  <property fmtid="{D5CDD505-2E9C-101B-9397-08002B2CF9AE}" pid="12" name="Mendeley Recent Style Id 5_1">
    <vt:lpwstr>http://csl.mendeley.com/styles/517355201/vancouver-square-3</vt:lpwstr>
  </property>
  <property fmtid="{D5CDD505-2E9C-101B-9397-08002B2CF9AE}" pid="13" name="Mendeley Recent Style Name 5_1">
    <vt:lpwstr>Vancouver - Daria Antipova</vt:lpwstr>
  </property>
  <property fmtid="{D5CDD505-2E9C-101B-9397-08002B2CF9AE}" pid="14" name="Mendeley Recent Style Id 6_1">
    <vt:lpwstr>http://csl.mendeley.com/styles/517355201/vancouver-square-6</vt:lpwstr>
  </property>
  <property fmtid="{D5CDD505-2E9C-101B-9397-08002B2CF9AE}" pid="15" name="Mendeley Recent Style Name 6_1">
    <vt:lpwstr>Vancouver - Daria Antipova</vt:lpwstr>
  </property>
  <property fmtid="{D5CDD505-2E9C-101B-9397-08002B2CF9AE}" pid="16" name="Mendeley Recent Style Id 7_1">
    <vt:lpwstr>http://csl.mendeley.com/styles/517251541/vancouver-square-2</vt:lpwstr>
  </property>
  <property fmtid="{D5CDD505-2E9C-101B-9397-08002B2CF9AE}" pid="17" name="Mendeley Recent Style Name 7_1">
    <vt:lpwstr>Vancouver - Daria Antipova</vt:lpwstr>
  </property>
  <property fmtid="{D5CDD505-2E9C-101B-9397-08002B2CF9AE}" pid="18" name="Mendeley Recent Style Id 8_1">
    <vt:lpwstr>http://csl.mendeley.com/styles/517355201/vancouver-square-5</vt:lpwstr>
  </property>
  <property fmtid="{D5CDD505-2E9C-101B-9397-08002B2CF9AE}" pid="19" name="Mendeley Recent Style Name 8_1">
    <vt:lpwstr>Vancouver - Daria Antipova</vt:lpwstr>
  </property>
  <property fmtid="{D5CDD505-2E9C-101B-9397-08002B2CF9AE}" pid="20" name="Mendeley Recent Style Id 9_1">
    <vt:lpwstr>http://csl.mendeley.com/styles/517355201/vancouver-square-4</vt:lpwstr>
  </property>
  <property fmtid="{D5CDD505-2E9C-101B-9397-08002B2CF9AE}" pid="21" name="Mendeley Recent Style Name 9_1">
    <vt:lpwstr>Vancouver - Daria Antipova</vt:lpwstr>
  </property>
  <property fmtid="{D5CDD505-2E9C-101B-9397-08002B2CF9AE}" pid="22" name="Mendeley Document_1">
    <vt:lpwstr>True</vt:lpwstr>
  </property>
  <property fmtid="{D5CDD505-2E9C-101B-9397-08002B2CF9AE}" pid="23" name="Mendeley Unique User Id_1">
    <vt:lpwstr>4af8d3f5-326d-3ade-8271-c9cea8bb27de</vt:lpwstr>
  </property>
  <property fmtid="{D5CDD505-2E9C-101B-9397-08002B2CF9AE}" pid="24" name="Mendeley Citation Style_1">
    <vt:lpwstr>http://csl.mendeley.com/styles/517355201/vancouverLancet-2</vt:lpwstr>
  </property>
</Properties>
</file>