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3F0" w:rsidRPr="00B56A5D" w:rsidRDefault="00B56A5D">
      <w:pPr>
        <w:rPr>
          <w:rFonts w:ascii="Arial" w:hAnsi="Arial" w:cs="Arial"/>
        </w:rPr>
      </w:pPr>
      <w:r w:rsidRPr="00B56A5D">
        <w:rPr>
          <w:rFonts w:ascii="Arial" w:hAnsi="Arial" w:cs="Arial"/>
          <w:b/>
        </w:rPr>
        <w:t xml:space="preserve">Additional file </w:t>
      </w:r>
      <w:r w:rsidR="005574CF">
        <w:rPr>
          <w:rFonts w:ascii="Arial" w:hAnsi="Arial" w:cs="Arial"/>
          <w:b/>
        </w:rPr>
        <w:t>3</w:t>
      </w:r>
      <w:bookmarkStart w:id="0" w:name="_GoBack"/>
      <w:bookmarkEnd w:id="0"/>
      <w:r w:rsidRPr="00B56A5D">
        <w:rPr>
          <w:rFonts w:ascii="Arial" w:hAnsi="Arial" w:cs="Arial"/>
          <w:b/>
        </w:rPr>
        <w:t>.</w:t>
      </w:r>
      <w:r w:rsidRPr="00B56A5D">
        <w:rPr>
          <w:rFonts w:ascii="Arial" w:hAnsi="Arial" w:cs="Arial"/>
        </w:rPr>
        <w:t xml:space="preserve"> Criteria for the diagnosis of arterial occlusion in individual studies.</w:t>
      </w:r>
    </w:p>
    <w:tbl>
      <w:tblPr>
        <w:tblW w:w="90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362"/>
        <w:gridCol w:w="1547"/>
        <w:gridCol w:w="1657"/>
        <w:gridCol w:w="1360"/>
        <w:gridCol w:w="1410"/>
        <w:gridCol w:w="1010"/>
        <w:gridCol w:w="674"/>
      </w:tblGrid>
      <w:tr w:rsidR="00596454" w:rsidRPr="00B56A5D" w:rsidTr="0008405F">
        <w:trPr>
          <w:trHeight w:val="328"/>
        </w:trPr>
        <w:tc>
          <w:tcPr>
            <w:tcW w:w="1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line="240" w:lineRule="auto"/>
              <w:jc w:val="center"/>
              <w:rPr>
                <w:rFonts w:ascii="Arial" w:eastAsia="Calibri" w:hAnsi="Arial" w:cs="Arial"/>
                <w:color w:val="000000"/>
                <w:sz w:val="16"/>
                <w:szCs w:val="16"/>
                <w:u w:color="000000"/>
                <w:bdr w:val="nil"/>
                <w:lang w:eastAsia="en-GB"/>
              </w:rPr>
            </w:pPr>
            <w:r w:rsidRPr="00B56A5D">
              <w:rPr>
                <w:rFonts w:ascii="Arial" w:eastAsia="Calibri" w:hAnsi="Arial" w:cs="Arial"/>
                <w:b/>
                <w:bCs/>
                <w:color w:val="000000"/>
                <w:sz w:val="16"/>
                <w:szCs w:val="16"/>
                <w:u w:color="000000"/>
                <w:bdr w:val="nil"/>
                <w:lang w:eastAsia="en-GB"/>
              </w:rPr>
              <w:t>Reference</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B56A5D">
              <w:rPr>
                <w:rFonts w:ascii="Arial" w:eastAsia="Calibri" w:hAnsi="Arial" w:cs="Arial"/>
                <w:b/>
                <w:bCs/>
                <w:color w:val="000000"/>
                <w:sz w:val="16"/>
                <w:szCs w:val="16"/>
                <w:u w:color="000000"/>
                <w:bdr w:val="nil"/>
                <w:lang w:eastAsia="en-GB"/>
              </w:rPr>
              <w:t>MCA</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B56A5D">
              <w:rPr>
                <w:rFonts w:ascii="Arial" w:eastAsia="Calibri" w:hAnsi="Arial" w:cs="Arial"/>
                <w:b/>
                <w:bCs/>
                <w:color w:val="000000"/>
                <w:sz w:val="16"/>
                <w:szCs w:val="16"/>
                <w:u w:color="000000"/>
                <w:bdr w:val="nil"/>
                <w:lang w:eastAsia="en-GB"/>
              </w:rPr>
              <w:t>ICA</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B56A5D">
              <w:rPr>
                <w:rFonts w:ascii="Arial" w:eastAsia="Calibri" w:hAnsi="Arial" w:cs="Arial"/>
                <w:b/>
                <w:bCs/>
                <w:color w:val="000000"/>
                <w:sz w:val="16"/>
                <w:szCs w:val="16"/>
                <w:u w:color="000000"/>
                <w:bdr w:val="nil"/>
                <w:lang w:eastAsia="en-GB"/>
              </w:rPr>
              <w:t>ACA</w:t>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B56A5D">
              <w:rPr>
                <w:rFonts w:ascii="Arial" w:eastAsia="Calibri" w:hAnsi="Arial" w:cs="Arial"/>
                <w:b/>
                <w:bCs/>
                <w:color w:val="000000"/>
                <w:sz w:val="16"/>
                <w:szCs w:val="16"/>
                <w:u w:color="000000"/>
                <w:bdr w:val="nil"/>
                <w:lang w:eastAsia="en-GB"/>
              </w:rPr>
              <w:t>PCA</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B56A5D">
              <w:rPr>
                <w:rFonts w:ascii="Arial" w:eastAsia="Calibri" w:hAnsi="Arial" w:cs="Arial"/>
                <w:b/>
                <w:bCs/>
                <w:color w:val="000000"/>
                <w:sz w:val="16"/>
                <w:szCs w:val="16"/>
                <w:u w:color="000000"/>
                <w:bdr w:val="nil"/>
                <w:lang w:eastAsia="en-GB"/>
              </w:rPr>
              <w:t>VA</w:t>
            </w:r>
          </w:p>
        </w:tc>
        <w:tc>
          <w:tcPr>
            <w:tcW w:w="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B56A5D">
              <w:rPr>
                <w:rFonts w:ascii="Arial" w:eastAsia="Calibri" w:hAnsi="Arial" w:cs="Arial"/>
                <w:b/>
                <w:bCs/>
                <w:color w:val="000000"/>
                <w:sz w:val="16"/>
                <w:szCs w:val="16"/>
                <w:u w:color="000000"/>
                <w:bdr w:val="nil"/>
                <w:lang w:eastAsia="en-GB"/>
              </w:rPr>
              <w:t>BA</w:t>
            </w:r>
          </w:p>
        </w:tc>
      </w:tr>
      <w:tr w:rsidR="00596454" w:rsidRPr="00B56A5D" w:rsidTr="0008405F">
        <w:trPr>
          <w:trHeight w:val="2844"/>
        </w:trPr>
        <w:tc>
          <w:tcPr>
            <w:tcW w:w="1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proofErr w:type="spellStart"/>
            <w:r w:rsidRPr="00B56A5D">
              <w:rPr>
                <w:rFonts w:ascii="Arial" w:eastAsia="Calibri" w:hAnsi="Arial" w:cs="Arial"/>
                <w:color w:val="000000"/>
                <w:sz w:val="16"/>
                <w:szCs w:val="16"/>
                <w:u w:color="000000"/>
                <w:bdr w:val="nil"/>
                <w:lang w:eastAsia="en-GB"/>
              </w:rPr>
              <w:t>Akopov</w:t>
            </w:r>
            <w:proofErr w:type="spellEnd"/>
            <w:r w:rsidRPr="00B56A5D">
              <w:rPr>
                <w:rFonts w:ascii="Arial" w:eastAsia="Calibri" w:hAnsi="Arial" w:cs="Arial"/>
                <w:color w:val="000000"/>
                <w:sz w:val="16"/>
                <w:szCs w:val="16"/>
                <w:u w:color="000000"/>
                <w:bdr w:val="nil"/>
                <w:lang w:eastAsia="en-GB"/>
              </w:rPr>
              <w:t xml:space="preserve"> 2002</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Abnormal mean flow velocities if lower than the mean ± 2 SD of control population.</w:t>
            </w:r>
          </w:p>
          <w:p w:rsidR="00596454" w:rsidRPr="00B56A5D" w:rsidRDefault="00596454" w:rsidP="0008405F">
            <w:pPr>
              <w:pBdr>
                <w:top w:val="nil"/>
                <w:left w:val="nil"/>
                <w:bottom w:val="nil"/>
                <w:right w:val="nil"/>
                <w:between w:val="nil"/>
                <w:bar w:val="nil"/>
              </w:pBdr>
              <w:spacing w:after="0" w:line="240" w:lineRule="auto"/>
              <w:rPr>
                <w:rFonts w:ascii="Arial" w:eastAsia="Arial" w:hAnsi="Arial" w:cs="Arial"/>
                <w:color w:val="000000"/>
                <w:sz w:val="16"/>
                <w:szCs w:val="16"/>
                <w:u w:color="000000"/>
                <w:bdr w:val="nil"/>
                <w:lang w:eastAsia="en-GB"/>
              </w:rPr>
            </w:pPr>
          </w:p>
          <w:p w:rsidR="00596454" w:rsidRPr="00B56A5D" w:rsidRDefault="00596454" w:rsidP="0008405F">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Distal MCA occlusion: decreased and low-resistance M1 MCA flow velocities with blunted MCA waveforms in distal MCA with signs of flow diversion to ipsilateral ACA.</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r>
      <w:tr w:rsidR="00596454" w:rsidRPr="00B56A5D" w:rsidTr="0008405F">
        <w:trPr>
          <w:trHeight w:val="3799"/>
        </w:trPr>
        <w:tc>
          <w:tcPr>
            <w:tcW w:w="1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Bar 2010</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MCA M1 occlusion: absent MCA flow signal + visualization of the remaining arteries of the anterior part of the circle of Willis.</w:t>
            </w:r>
          </w:p>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Distal M1 segment occlusion or multiple MCA branch occlusions (M2): site difference of 30% in PSV values detected in the proximal part of the M1 segment</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 xml:space="preserve">T-type ICA occlusion: M1, A1, and distal ICA segment flow signals were absent; simultaneously, ipsilateral or contralateral A1 visualization using the ipsilateral temporal bone window was necessary </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fldChar w:fldCharType="begin" w:fldLock="1"/>
            </w:r>
            <w:r w:rsidR="00F0398B">
              <w:rPr>
                <w:rFonts w:ascii="Arial" w:eastAsia="Calibri" w:hAnsi="Arial" w:cs="Arial"/>
                <w:color w:val="000000"/>
                <w:sz w:val="16"/>
                <w:szCs w:val="16"/>
                <w:u w:color="000000"/>
                <w:lang w:eastAsia="en-GB"/>
              </w:rPr>
              <w:instrText>ADDIN CSL_CITATION {"citationItems":[{"id":"ITEM-1","itemData":{"ISSN":"0929-8266 (Print)","PMID":"12470856","abstract":"This report summarises the design and organisation of a multicentre study on neurosonology in acute ischaemic stroke. The Neurosonology in Acute Ischaemic Stroke Study will determine whether extracranial and transcranial Doppler and duplex sonography performed within 6 h after onset of stroke improves prediction of functional outcome if applied in addition to routine diagnostic admission investigations, i.e. medical history, standardised neurological examination, brain imaging by computed or magnetic resonance tomography, electrocardiography, and baseline laboratory examination. The primary hypothesis is that there is a consistent and persuasive difference between patients with an occluded middle cerebral artery and those with an open artery in terms of the functional deficit after 3 months. Power calculations are based on the assumption of alpha=0.05 (two-sided test) and a probability of a maximally mild functional deficit of 0.4. Detection of a 20% difference with a power of 0.8 resulted in a calculated sample of 400 patients to be observed. Calculation took into consideration that only 50% of admitted patients would have a moderate to severe neurological deficit of whom only 30% will have an occlusion of the corresponding middle cerebral artery. Furthermore, the study is designed to evaluate a difference of the functional outcome in relation to occurrence and time of recanalisation in-patients presenting with an initially occluded middle cerebral artery.","author":[{"dropping-particle":"","family":"Goertler","given":"Michael","non-dropping-particle":"","parse-names":false,"suffix":""},{"dropping-particle":"","family":"Allendoerfer","given":"Jens","non-dropping-particle":"","parse-names":false,"suffix":""},{"dropping-particle":"","family":"Reutern","given":"Gerhard-Michael","non-dropping-particle":"von","parse-names":false,"suffix":""}],"container-title":"European journal of ultrasound : official journal of the European Federation of Societies for Ultrasound in Medicine and Biology","id":"ITEM-1","issue":"1-2","issued":{"date-parts":[["2002","11"]]},"language":"eng","page":"115-120","publisher-place":"Ireland","title":"Design of a multicentre study on neurosonology in acute ischaemic stroke. A project of the neurosonology research group of the World Federation of Neurology.","type":"article-journal","volume":"16"},"uris":["http://www.mendeley.com/documents/?uuid=fb1a3a31-1d6b-4a5c-8b96-39e124407f52"]}],"mendeley":{"formattedCitation":"(Goertler, Allendoerfer and von Reutern, 2002)","manualFormatting":"Goertler, Allendoerfer and von Reutern (2002)","plainTextFormattedCitation":"(Goertler, Allendoerfer and von Reutern, 2002)","previouslyFormattedCitation":"[61]"},"properties":{"noteIndex":0},"schema":"https://github.com/citation-style-language/schema/raw/master/csl-citation.json"}</w:instrText>
            </w:r>
            <w:r w:rsidRPr="00B56A5D">
              <w:rPr>
                <w:rFonts w:ascii="Arial" w:eastAsia="Calibri" w:hAnsi="Arial" w:cs="Arial"/>
                <w:color w:val="000000"/>
                <w:sz w:val="16"/>
                <w:szCs w:val="16"/>
                <w:u w:color="000000"/>
                <w:bdr w:val="nil"/>
                <w:lang w:eastAsia="en-GB"/>
              </w:rPr>
              <w:fldChar w:fldCharType="separate"/>
            </w:r>
            <w:r w:rsidR="00F0398B" w:rsidRPr="00F0398B">
              <w:rPr>
                <w:rFonts w:ascii="Arial" w:eastAsia="Calibri" w:hAnsi="Arial" w:cs="Arial"/>
                <w:noProof/>
                <w:color w:val="000000"/>
                <w:sz w:val="16"/>
                <w:szCs w:val="16"/>
                <w:u w:color="000000"/>
                <w:lang w:eastAsia="en-GB"/>
              </w:rPr>
              <w:t xml:space="preserve">Goertler, Allendoerfer and von Reutern </w:t>
            </w:r>
            <w:r w:rsidR="00F0398B">
              <w:rPr>
                <w:rFonts w:ascii="Arial" w:eastAsia="Calibri" w:hAnsi="Arial" w:cs="Arial"/>
                <w:noProof/>
                <w:color w:val="000000"/>
                <w:sz w:val="16"/>
                <w:szCs w:val="16"/>
                <w:u w:color="000000"/>
                <w:lang w:eastAsia="en-GB"/>
              </w:rPr>
              <w:t>(</w:t>
            </w:r>
            <w:r w:rsidR="00F0398B" w:rsidRPr="00F0398B">
              <w:rPr>
                <w:rFonts w:ascii="Arial" w:eastAsia="Calibri" w:hAnsi="Arial" w:cs="Arial"/>
                <w:noProof/>
                <w:color w:val="000000"/>
                <w:sz w:val="16"/>
                <w:szCs w:val="16"/>
                <w:u w:color="000000"/>
                <w:lang w:eastAsia="en-GB"/>
              </w:rPr>
              <w:t>2002)</w:t>
            </w:r>
            <w:r w:rsidRPr="00B56A5D">
              <w:rPr>
                <w:rFonts w:ascii="Arial" w:eastAsia="Calibri" w:hAnsi="Arial" w:cs="Arial"/>
                <w:color w:val="000000"/>
                <w:sz w:val="16"/>
                <w:szCs w:val="16"/>
                <w:u w:color="000000"/>
                <w:bdr w:val="nil"/>
                <w:lang w:eastAsia="en-GB"/>
              </w:rPr>
              <w:fldChar w:fldCharType="end"/>
            </w: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F0398B" w:rsidP="0008405F">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fldChar w:fldCharType="begin" w:fldLock="1"/>
            </w:r>
            <w:r>
              <w:rPr>
                <w:rFonts w:ascii="Arial" w:eastAsia="Calibri" w:hAnsi="Arial" w:cs="Arial"/>
                <w:color w:val="000000"/>
                <w:sz w:val="16"/>
                <w:szCs w:val="16"/>
                <w:u w:color="000000"/>
                <w:lang w:eastAsia="en-GB"/>
              </w:rPr>
              <w:instrText>ADDIN CSL_CITATION {"citationItems":[{"id":"ITEM-1","itemData":{"ISSN":"0929-8266 (Print)","PMID":"12470856","abstract":"This report summarises the design and organisation of a multicentre study on neurosonology in acute ischaemic stroke. The Neurosonology in Acute Ischaemic Stroke Study will determine whether extracranial and transcranial Doppler and duplex sonography performed within 6 h after onset of stroke improves prediction of functional outcome if applied in addition to routine diagnostic admission investigations, i.e. medical history, standardised neurological examination, brain imaging by computed or magnetic resonance tomography, electrocardiography, and baseline laboratory examination. The primary hypothesis is that there is a consistent and persuasive difference between patients with an occluded middle cerebral artery and those with an open artery in terms of the functional deficit after 3 months. Power calculations are based on the assumption of alpha=0.05 (two-sided test) and a probability of a maximally mild functional deficit of 0.4. Detection of a 20% difference with a power of 0.8 resulted in a calculated sample of 400 patients to be observed. Calculation took into consideration that only 50% of admitted patients would have a moderate to severe neurological deficit of whom only 30% will have an occlusion of the corresponding middle cerebral artery. Furthermore, the study is designed to evaluate a difference of the functional outcome in relation to occurrence and time of recanalisation in-patients presenting with an initially occluded middle cerebral artery.","author":[{"dropping-particle":"","family":"Goertler","given":"Michael","non-dropping-particle":"","parse-names":false,"suffix":""},{"dropping-particle":"","family":"Allendoerfer","given":"Jens","non-dropping-particle":"","parse-names":false,"suffix":""},{"dropping-particle":"","family":"Reutern","given":"Gerhard-Michael","non-dropping-particle":"von","parse-names":false,"suffix":""}],"container-title":"European journal of ultrasound : official journal of the European Federation of Societies for Ultrasound in Medicine and Biology","id":"ITEM-1","issue":"1-2","issued":{"date-parts":[["2002","11"]]},"language":"eng","page":"115-120","publisher-place":"Ireland","title":"Design of a multicentre study on neurosonology in acute ischaemic stroke. A project of the neurosonology research group of the World Federation of Neurology.","type":"article-journal","volume":"16"},"uris":["http://www.mendeley.com/documents/?uuid=fb1a3a31-1d6b-4a5c-8b96-39e124407f52"]}],"mendeley":{"formattedCitation":"(Goertler, Allendoerfer and von Reutern, 2002)","plainTextFormattedCitation":"(Goertler, Allendoerfer and von Reutern, 2002)","previouslyFormattedCitation":"[61]"},"properties":{"noteIndex":0},"schema":"https://github.com/citation-style-language/schema/raw/master/csl-citation.json"}</w:instrText>
            </w:r>
            <w:r w:rsidRPr="00B56A5D">
              <w:rPr>
                <w:rFonts w:ascii="Arial" w:eastAsia="Calibri" w:hAnsi="Arial" w:cs="Arial"/>
                <w:color w:val="000000"/>
                <w:sz w:val="16"/>
                <w:szCs w:val="16"/>
                <w:u w:color="000000"/>
                <w:bdr w:val="nil"/>
                <w:lang w:eastAsia="en-GB"/>
              </w:rPr>
              <w:fldChar w:fldCharType="separate"/>
            </w:r>
            <w:r w:rsidRPr="00F0398B">
              <w:rPr>
                <w:rFonts w:ascii="Arial" w:eastAsia="Calibri" w:hAnsi="Arial" w:cs="Arial"/>
                <w:noProof/>
                <w:color w:val="000000"/>
                <w:sz w:val="16"/>
                <w:szCs w:val="16"/>
                <w:u w:color="000000"/>
                <w:lang w:eastAsia="en-GB"/>
              </w:rPr>
              <w:t xml:space="preserve">Goertler, Allendoerfer and von Reutern </w:t>
            </w:r>
            <w:r>
              <w:rPr>
                <w:rFonts w:ascii="Arial" w:eastAsia="Calibri" w:hAnsi="Arial" w:cs="Arial"/>
                <w:noProof/>
                <w:color w:val="000000"/>
                <w:sz w:val="16"/>
                <w:szCs w:val="16"/>
                <w:u w:color="000000"/>
                <w:lang w:eastAsia="en-GB"/>
              </w:rPr>
              <w:t>(</w:t>
            </w:r>
            <w:r w:rsidRPr="00F0398B">
              <w:rPr>
                <w:rFonts w:ascii="Arial" w:eastAsia="Calibri" w:hAnsi="Arial" w:cs="Arial"/>
                <w:noProof/>
                <w:color w:val="000000"/>
                <w:sz w:val="16"/>
                <w:szCs w:val="16"/>
                <w:u w:color="000000"/>
                <w:lang w:eastAsia="en-GB"/>
              </w:rPr>
              <w:t>2002)</w:t>
            </w:r>
            <w:r w:rsidRPr="00B56A5D">
              <w:rPr>
                <w:rFonts w:ascii="Arial" w:eastAsia="Calibri" w:hAnsi="Arial" w:cs="Arial"/>
                <w:color w:val="000000"/>
                <w:sz w:val="16"/>
                <w:szCs w:val="16"/>
                <w:u w:color="000000"/>
                <w:bdr w:val="nil"/>
                <w:lang w:eastAsia="en-GB"/>
              </w:rPr>
              <w:fldChar w:fldCharType="end"/>
            </w:r>
          </w:p>
        </w:tc>
        <w:tc>
          <w:tcPr>
            <w:tcW w:w="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r>
      <w:tr w:rsidR="00596454" w:rsidRPr="00B56A5D" w:rsidTr="0008405F">
        <w:trPr>
          <w:trHeight w:val="204"/>
        </w:trPr>
        <w:tc>
          <w:tcPr>
            <w:tcW w:w="1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proofErr w:type="spellStart"/>
            <w:r w:rsidRPr="00B56A5D">
              <w:rPr>
                <w:rFonts w:ascii="Arial" w:eastAsia="Calibri" w:hAnsi="Arial" w:cs="Arial"/>
                <w:color w:val="000000"/>
                <w:sz w:val="16"/>
                <w:szCs w:val="16"/>
                <w:u w:color="000000"/>
                <w:bdr w:val="nil"/>
                <w:lang w:eastAsia="en-GB"/>
              </w:rPr>
              <w:t>Boddu</w:t>
            </w:r>
            <w:proofErr w:type="spellEnd"/>
            <w:r w:rsidRPr="00B56A5D">
              <w:rPr>
                <w:rFonts w:ascii="Arial" w:eastAsia="Calibri" w:hAnsi="Arial" w:cs="Arial"/>
                <w:color w:val="000000"/>
                <w:sz w:val="16"/>
                <w:szCs w:val="16"/>
                <w:u w:color="000000"/>
                <w:bdr w:val="nil"/>
                <w:lang w:eastAsia="en-GB"/>
              </w:rPr>
              <w:t xml:space="preserve"> 2011</w:t>
            </w:r>
          </w:p>
        </w:tc>
        <w:tc>
          <w:tcPr>
            <w:tcW w:w="765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Not specified</w:t>
            </w:r>
          </w:p>
        </w:tc>
      </w:tr>
      <w:tr w:rsidR="00596454" w:rsidRPr="00B56A5D" w:rsidTr="0008405F">
        <w:trPr>
          <w:trHeight w:val="204"/>
        </w:trPr>
        <w:tc>
          <w:tcPr>
            <w:tcW w:w="1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proofErr w:type="spellStart"/>
            <w:r w:rsidRPr="00B56A5D">
              <w:rPr>
                <w:rFonts w:ascii="Arial" w:eastAsia="Calibri" w:hAnsi="Arial" w:cs="Arial"/>
                <w:color w:val="000000"/>
                <w:sz w:val="16"/>
                <w:szCs w:val="16"/>
                <w:u w:color="000000"/>
                <w:bdr w:val="nil"/>
                <w:lang w:eastAsia="en-GB"/>
              </w:rPr>
              <w:t>Brunser</w:t>
            </w:r>
            <w:proofErr w:type="spellEnd"/>
            <w:r w:rsidRPr="00B56A5D">
              <w:rPr>
                <w:rFonts w:ascii="Arial" w:eastAsia="Calibri" w:hAnsi="Arial" w:cs="Arial"/>
                <w:color w:val="000000"/>
                <w:sz w:val="16"/>
                <w:szCs w:val="16"/>
                <w:u w:color="000000"/>
                <w:bdr w:val="nil"/>
                <w:lang w:eastAsia="en-GB"/>
              </w:rPr>
              <w:t xml:space="preserve"> 2009</w:t>
            </w:r>
          </w:p>
        </w:tc>
        <w:tc>
          <w:tcPr>
            <w:tcW w:w="765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fldChar w:fldCharType="begin" w:fldLock="1"/>
            </w:r>
            <w:r w:rsidR="00F0398B">
              <w:rPr>
                <w:rFonts w:ascii="Arial" w:eastAsia="Calibri" w:hAnsi="Arial" w:cs="Arial"/>
                <w:color w:val="000000"/>
                <w:sz w:val="16"/>
                <w:szCs w:val="16"/>
                <w:u w:color="000000"/>
                <w:lang w:eastAsia="en-GB"/>
              </w:rPr>
              <w:instrText>ADDIN CSL_CITATION {"citationItems":[{"id":"ITEM-1","itemData":{"ISSN":"1051-2284 (Print)","PMID":"10666975","abstract":"The authors determined transcranial Doppler (TCD) accuracy for the proximal internal carotid artery (ICA), distal ICA, proximal middle cerebral artery (MCA), distal MCA, anterior cerebral artery (ACA), posterior cerebral artery (PCA), terminal vertebral artery (tVA), and basilar artery (BA) occlusion in cerebral ischemia patients. Detailed diagnostic criteria were prospectively applied for TCD interpretation independent of angiographic findings. Of 320 consecutive patients referred to the neurosonology service with symptoms of cerebral ischemia, 190 (59%) patients also underwent angiography (MRA or DSA). 48 of those 190 patients had angiographic occlusion and 12 of those 48 patients had involvement of multiple vessels. Median time from TCD until angiography was performed was 1 hour (41 patients had angiography before TCD). TCD showed 40 true positive, 8 false negative, 8 false positive, and 134 true negative studies with sensitivity 83.0%, specificity 94.4%, positive predictive value 83.0%, negative predictive value 94.4%, and accuracy 91.6% to determine all sites of occlusion. Sensitivity for each individual occlusion site was: proximal ICA 94%, distal ICA 81%, MCA 93% tVA 56%, BA 60%. Specificity ranged from 96% to 98%. TCD is sensitive and specific in determining the site of the arterial occlusion using detailed diagnostic criteria, including proximal ICA and distal MCA lesions. TCD has the highest accuracy for ICA and MCA occlusions. If the results of TCD are normal, there is at least a 94% chance that angiographic studies will be negative.","author":[{"dropping-particle":"","family":"Demchuk","given":"A M","non-dropping-particle":"","parse-names":false,"suffix":""},{"dropping-particle":"","family":"Christou","given":"I","non-dropping-particle":"","parse-names":false,"suffix":""},{"dropping-particle":"","family":"Wein","given":"T H","non-dropping-particle":"","parse-names":false,"suffix":""},{"dropping-particle":"","family":"Felberg","given":"R A","non-dropping-particle":"","parse-names":false,"suffix":""},{"dropping-particle":"","family":"Malkoff","given":"M","non-dropping-particle":"","parse-names":false,"suffix":""},{"dropping-particle":"","family":"Grotta","given":"J C","non-dropping-particle":"","parse-names":false,"suffix":""},{"dropping-particle":"V","family":"Alexandrov","given":"A","non-dropping-particle":"","parse-names":false,"suffix":""}],"container-title":"Journal of neuroimaging : official journal of the American Society of Neuroimaging","id":"ITEM-1","issue":"1","issued":{"date-parts":[["2000","1"]]},"language":"eng","page":"1-12","publisher-place":"United States","title":"Accuracy and criteria for localizing arterial occlusion with transcranial Doppler.","type":"article-journal","volume":"10"},"uris":["http://www.mendeley.com/documents/?uuid=dbab2dd5-88a5-4f66-9f2e-b28f742e0919"]},{"id":"ITEM-2","itemData":{"ISSN":"1051-2284 (Print)","PMID":"12116742","abstract":"BACKGROUND AND PURPOSE: Power motion mode Doppler (PMD) simultaneously displays flow signal intensity and direction over several centimeters of intracranial space. Insonation protocol for PMD and spectral transcranial Doppler (TCD) with typical PMD flow signatures is described in serial patients with acute stroke symptoms examined via conventional windows with a PMD/TCD unit. RESULTS: Thirty-five patients were studied within 12 hours after stroke onset (age 64 +/- 15 years; 8 received intravenous and 3 intra-arterial thrombolysis). One patient had no temporal window, and 3 patients had suboptimal windows. In 90% of patients, PMD showed more than 1 ipsilateral temporal windows. In 63% of patients (n = 22), PMD simultaneously displayed the entire M1 (65-45 mm) and proximal M2 (45-30 mm) flows, leading to spectral TCD examination of the proximal M2 middle cerebral artery (MCA) in 28 of 35 patients (80%). All patients had sufficient foraminal (depth display = 60-110 mm) and orbital (depth display = 30-80 mm) windows. PMD displayed the entire basilar artery stem (75-100+ mm) in 69% (n = 24) of patients, and the distal basilar flow was detected in all patients by both PMD and TCD. TCD results were normal (12), proximal intracranial stenosis (5), large vessel occlusion (17), and cerebral circulatory arrest (1). Compared to spectral TCD, PMD signatures of similar diagnostic significance were low resistance (vessel identification and recanalization), high resistance (ophthalmic artery identification and distal obstruction), collateral (communicating arteries and leptomeningeal flow), reverberating (circulatory arrest), and branch embolization. CONCLUSIONS: PMD is a window-finding tool and a guide for spectral TCD gate placement. PMD facilitates flow detection in the M2 branches and the distal basilar artery. PMD can demonstrate recanalization of the entire MCA main stem and proximal branches, increase the yield of embolus detection and procedure monitoring, and facilitate abnormal flow pattern recognition.","author":[{"dropping-particle":"V","family":"Alexandrov","given":"Andrei","non-dropping-particle":"","parse-names":false,"suffix":""},{"dropping-particle":"","family":"Demchuk","given":"Andrew M","non-dropping-particle":"","parse-names":false,"suffix":""},{"dropping-particle":"","family":"Burgin","given":"W Scott","non-dropping-particle":"","parse-names":false,"suffix":""}],"container-title":"Journal of neuroimaging : official journal of the American Society of Neuroimaging","id":"ITEM-2","issue":"3","issued":{"date-parts":[["2002","7"]]},"language":"eng","page":"236-244","publisher-place":"United States","title":"Insonation method and diagnostic flow signatures for transcranial power motion (M-mode) Doppler.","type":"article-journal","volume":"12"},"uris":["http://www.mendeley.com/documents/?uuid=a6664f9d-66be-49f5-9fb2-dd5abfd917f8"]}],"mendeley":{"formattedCitation":"(Demchuk &lt;i&gt;et al.&lt;/i&gt;, 2000; Alexandrov, Demchuk and Burgin, 2002)","manualFormatting":"Demchuk et al (2000), Alexandrov, Demchuk and Burgin (2002)","plainTextFormattedCitation":"(Demchuk et al., 2000; Alexandrov, Demchuk and Burgin, 2002)","previouslyFormattedCitation":"[69,78]"},"properties":{"noteIndex":0},"schema":"https://github.com/citation-style-language/schema/raw/master/csl-citation.json"}</w:instrText>
            </w:r>
            <w:r w:rsidRPr="00B56A5D">
              <w:rPr>
                <w:rFonts w:ascii="Arial" w:eastAsia="Calibri" w:hAnsi="Arial" w:cs="Arial"/>
                <w:color w:val="000000"/>
                <w:sz w:val="16"/>
                <w:szCs w:val="16"/>
                <w:u w:color="000000"/>
                <w:bdr w:val="nil"/>
                <w:lang w:eastAsia="en-GB"/>
              </w:rPr>
              <w:fldChar w:fldCharType="separate"/>
            </w:r>
            <w:r w:rsidR="00F0398B" w:rsidRPr="00F0398B">
              <w:rPr>
                <w:rFonts w:ascii="Arial" w:eastAsia="Calibri" w:hAnsi="Arial" w:cs="Arial"/>
                <w:noProof/>
                <w:color w:val="000000"/>
                <w:sz w:val="16"/>
                <w:szCs w:val="16"/>
                <w:u w:color="000000"/>
                <w:lang w:eastAsia="en-GB"/>
              </w:rPr>
              <w:t xml:space="preserve">Demchuk et al </w:t>
            </w:r>
            <w:r w:rsidR="00F0398B">
              <w:rPr>
                <w:rFonts w:ascii="Arial" w:eastAsia="Calibri" w:hAnsi="Arial" w:cs="Arial"/>
                <w:noProof/>
                <w:color w:val="000000"/>
                <w:sz w:val="16"/>
                <w:szCs w:val="16"/>
                <w:u w:color="000000"/>
                <w:lang w:eastAsia="en-GB"/>
              </w:rPr>
              <w:t>(</w:t>
            </w:r>
            <w:r w:rsidR="00F0398B" w:rsidRPr="00F0398B">
              <w:rPr>
                <w:rFonts w:ascii="Arial" w:eastAsia="Calibri" w:hAnsi="Arial" w:cs="Arial"/>
                <w:noProof/>
                <w:color w:val="000000"/>
                <w:sz w:val="16"/>
                <w:szCs w:val="16"/>
                <w:u w:color="000000"/>
                <w:lang w:eastAsia="en-GB"/>
              </w:rPr>
              <w:t>2000</w:t>
            </w:r>
            <w:r w:rsidR="00F0398B">
              <w:rPr>
                <w:rFonts w:ascii="Arial" w:eastAsia="Calibri" w:hAnsi="Arial" w:cs="Arial"/>
                <w:noProof/>
                <w:color w:val="000000"/>
                <w:sz w:val="16"/>
                <w:szCs w:val="16"/>
                <w:u w:color="000000"/>
                <w:lang w:eastAsia="en-GB"/>
              </w:rPr>
              <w:t>),</w:t>
            </w:r>
            <w:r w:rsidR="00F0398B" w:rsidRPr="00F0398B">
              <w:rPr>
                <w:rFonts w:ascii="Arial" w:eastAsia="Calibri" w:hAnsi="Arial" w:cs="Arial"/>
                <w:noProof/>
                <w:color w:val="000000"/>
                <w:sz w:val="16"/>
                <w:szCs w:val="16"/>
                <w:u w:color="000000"/>
                <w:lang w:eastAsia="en-GB"/>
              </w:rPr>
              <w:t xml:space="preserve"> Alexandrov, Demchuk and Burgin </w:t>
            </w:r>
            <w:r w:rsidR="00F0398B">
              <w:rPr>
                <w:rFonts w:ascii="Arial" w:eastAsia="Calibri" w:hAnsi="Arial" w:cs="Arial"/>
                <w:noProof/>
                <w:color w:val="000000"/>
                <w:sz w:val="16"/>
                <w:szCs w:val="16"/>
                <w:u w:color="000000"/>
                <w:lang w:eastAsia="en-GB"/>
              </w:rPr>
              <w:t>(</w:t>
            </w:r>
            <w:r w:rsidR="00F0398B" w:rsidRPr="00F0398B">
              <w:rPr>
                <w:rFonts w:ascii="Arial" w:eastAsia="Calibri" w:hAnsi="Arial" w:cs="Arial"/>
                <w:noProof/>
                <w:color w:val="000000"/>
                <w:sz w:val="16"/>
                <w:szCs w:val="16"/>
                <w:u w:color="000000"/>
                <w:lang w:eastAsia="en-GB"/>
              </w:rPr>
              <w:t>2002)</w:t>
            </w:r>
            <w:r w:rsidRPr="00B56A5D">
              <w:rPr>
                <w:rFonts w:ascii="Arial" w:eastAsia="Calibri" w:hAnsi="Arial" w:cs="Arial"/>
                <w:color w:val="000000"/>
                <w:sz w:val="16"/>
                <w:szCs w:val="16"/>
                <w:u w:color="000000"/>
                <w:bdr w:val="nil"/>
                <w:lang w:eastAsia="en-GB"/>
              </w:rPr>
              <w:fldChar w:fldCharType="end"/>
            </w:r>
          </w:p>
        </w:tc>
      </w:tr>
      <w:tr w:rsidR="00596454" w:rsidRPr="00B56A5D" w:rsidTr="0008405F">
        <w:trPr>
          <w:trHeight w:val="204"/>
        </w:trPr>
        <w:tc>
          <w:tcPr>
            <w:tcW w:w="1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proofErr w:type="spellStart"/>
            <w:r w:rsidRPr="00B56A5D">
              <w:rPr>
                <w:rFonts w:ascii="Arial" w:eastAsia="Calibri" w:hAnsi="Arial" w:cs="Arial"/>
                <w:color w:val="000000"/>
                <w:sz w:val="16"/>
                <w:szCs w:val="16"/>
                <w:u w:color="000000"/>
                <w:bdr w:val="nil"/>
                <w:lang w:eastAsia="en-GB"/>
              </w:rPr>
              <w:t>Gerriets</w:t>
            </w:r>
            <w:proofErr w:type="spellEnd"/>
            <w:r w:rsidRPr="00B56A5D">
              <w:rPr>
                <w:rFonts w:ascii="Arial" w:eastAsia="Calibri" w:hAnsi="Arial" w:cs="Arial"/>
                <w:color w:val="000000"/>
                <w:sz w:val="16"/>
                <w:szCs w:val="16"/>
                <w:u w:color="000000"/>
                <w:bdr w:val="nil"/>
                <w:lang w:eastAsia="en-GB"/>
              </w:rPr>
              <w:t xml:space="preserve"> 2001</w:t>
            </w:r>
          </w:p>
        </w:tc>
        <w:tc>
          <w:tcPr>
            <w:tcW w:w="765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Not specified</w:t>
            </w:r>
          </w:p>
        </w:tc>
      </w:tr>
      <w:tr w:rsidR="00596454" w:rsidRPr="00B56A5D" w:rsidTr="0008405F">
        <w:trPr>
          <w:trHeight w:val="1404"/>
        </w:trPr>
        <w:tc>
          <w:tcPr>
            <w:tcW w:w="1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proofErr w:type="spellStart"/>
            <w:r w:rsidRPr="00B56A5D">
              <w:rPr>
                <w:rFonts w:ascii="Arial" w:eastAsia="Calibri" w:hAnsi="Arial" w:cs="Arial"/>
                <w:color w:val="000000"/>
                <w:sz w:val="16"/>
                <w:szCs w:val="16"/>
                <w:u w:color="000000"/>
                <w:bdr w:val="nil"/>
                <w:lang w:eastAsia="en-GB"/>
              </w:rPr>
              <w:t>Gerriets</w:t>
            </w:r>
            <w:proofErr w:type="spellEnd"/>
            <w:r w:rsidRPr="00B56A5D">
              <w:rPr>
                <w:rFonts w:ascii="Arial" w:eastAsia="Calibri" w:hAnsi="Arial" w:cs="Arial"/>
                <w:color w:val="000000"/>
                <w:sz w:val="16"/>
                <w:szCs w:val="16"/>
                <w:u w:color="000000"/>
                <w:bdr w:val="nil"/>
                <w:lang w:eastAsia="en-GB"/>
              </w:rPr>
              <w:t xml:space="preserve"> 2002</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 xml:space="preserve">MCA </w:t>
            </w:r>
            <w:proofErr w:type="spellStart"/>
            <w:r w:rsidRPr="00B56A5D">
              <w:rPr>
                <w:rFonts w:ascii="Arial" w:eastAsia="Calibri" w:hAnsi="Arial" w:cs="Arial"/>
                <w:color w:val="000000"/>
                <w:sz w:val="16"/>
                <w:szCs w:val="16"/>
                <w:u w:color="000000"/>
                <w:bdr w:val="nil"/>
                <w:lang w:eastAsia="en-GB"/>
              </w:rPr>
              <w:t>mainstem</w:t>
            </w:r>
            <w:proofErr w:type="spellEnd"/>
            <w:r w:rsidRPr="00B56A5D">
              <w:rPr>
                <w:rFonts w:ascii="Arial" w:eastAsia="Calibri" w:hAnsi="Arial" w:cs="Arial"/>
                <w:color w:val="000000"/>
                <w:sz w:val="16"/>
                <w:szCs w:val="16"/>
                <w:u w:color="000000"/>
                <w:bdr w:val="nil"/>
                <w:lang w:eastAsia="en-GB"/>
              </w:rPr>
              <w:t>: no Doppler signal of the MCA with present flow in ACA and PCA</w:t>
            </w:r>
            <w:r w:rsidR="00F0398B">
              <w:rPr>
                <w:rFonts w:ascii="Arial" w:eastAsia="Calibri" w:hAnsi="Arial" w:cs="Arial"/>
                <w:color w:val="000000"/>
                <w:sz w:val="16"/>
                <w:szCs w:val="16"/>
                <w:u w:color="000000"/>
                <w:bdr w:val="nil"/>
                <w:lang w:eastAsia="en-GB"/>
              </w:rPr>
              <w:t xml:space="preserve">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r>
      <w:tr w:rsidR="00596454" w:rsidRPr="00B56A5D" w:rsidTr="0008405F">
        <w:trPr>
          <w:trHeight w:val="3596"/>
        </w:trPr>
        <w:tc>
          <w:tcPr>
            <w:tcW w:w="1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proofErr w:type="spellStart"/>
            <w:r w:rsidRPr="00B56A5D">
              <w:rPr>
                <w:rFonts w:ascii="Arial" w:eastAsia="Calibri" w:hAnsi="Arial" w:cs="Arial"/>
                <w:color w:val="000000"/>
                <w:sz w:val="16"/>
                <w:szCs w:val="16"/>
                <w:u w:color="000000"/>
                <w:bdr w:val="nil"/>
                <w:lang w:eastAsia="en-GB"/>
              </w:rPr>
              <w:lastRenderedPageBreak/>
              <w:t>Goertler</w:t>
            </w:r>
            <w:proofErr w:type="spellEnd"/>
            <w:r w:rsidRPr="00B56A5D">
              <w:rPr>
                <w:rFonts w:ascii="Arial" w:eastAsia="Calibri" w:hAnsi="Arial" w:cs="Arial"/>
                <w:color w:val="000000"/>
                <w:sz w:val="16"/>
                <w:szCs w:val="16"/>
                <w:u w:color="000000"/>
                <w:bdr w:val="nil"/>
                <w:lang w:eastAsia="en-GB"/>
              </w:rPr>
              <w:t xml:space="preserve"> 1998</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Diminished flow velocity – PSV &lt; 40 cm/s (as established in comparison to age-adjusted healthy subjects)</w:t>
            </w:r>
          </w:p>
          <w:p w:rsidR="00596454" w:rsidRPr="00B56A5D" w:rsidRDefault="00596454" w:rsidP="0008405F">
            <w:pPr>
              <w:pBdr>
                <w:top w:val="nil"/>
                <w:left w:val="nil"/>
                <w:bottom w:val="nil"/>
                <w:right w:val="nil"/>
                <w:between w:val="nil"/>
                <w:bar w:val="nil"/>
              </w:pBdr>
              <w:spacing w:after="0" w:line="240" w:lineRule="auto"/>
              <w:rPr>
                <w:rFonts w:ascii="Arial" w:eastAsia="Arial"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Interhemispheric asymmetry of MCA MFV– correlates well with multiple (&gt;3) MCA branch occlusions, if extracranial ICA occlusions had been excluded.</w:t>
            </w:r>
          </w:p>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Normal MCA PSV was set to 48 cm/s</w:t>
            </w:r>
            <w:r w:rsidR="00F0398B">
              <w:rPr>
                <w:rFonts w:ascii="Arial" w:eastAsia="Calibri" w:hAnsi="Arial" w:cs="Arial"/>
                <w:color w:val="000000"/>
                <w:sz w:val="16"/>
                <w:szCs w:val="16"/>
                <w:u w:color="000000"/>
                <w:bdr w:val="nil"/>
                <w:lang w:eastAsia="en-GB"/>
              </w:rPr>
              <w:t xml:space="preserve">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r>
      <w:tr w:rsidR="00596454" w:rsidRPr="00B56A5D" w:rsidTr="0008405F">
        <w:trPr>
          <w:trHeight w:val="1004"/>
        </w:trPr>
        <w:tc>
          <w:tcPr>
            <w:tcW w:w="1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Guan 2013</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Blunted signal - much lower than velocities of the ipsilateral ACA and PCA</w:t>
            </w:r>
            <w:r w:rsidR="00F0398B">
              <w:rPr>
                <w:rFonts w:ascii="Arial" w:eastAsia="Calibri" w:hAnsi="Arial" w:cs="Arial"/>
                <w:color w:val="000000"/>
                <w:sz w:val="16"/>
                <w:szCs w:val="16"/>
                <w:u w:color="000000"/>
                <w:bdr w:val="nil"/>
                <w:lang w:eastAsia="en-GB"/>
              </w:rPr>
              <w:t xml:space="preserve">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r>
      <w:tr w:rsidR="00596454" w:rsidRPr="00B56A5D" w:rsidTr="0008405F">
        <w:trPr>
          <w:trHeight w:val="1200"/>
        </w:trPr>
        <w:tc>
          <w:tcPr>
            <w:tcW w:w="1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proofErr w:type="spellStart"/>
            <w:r w:rsidRPr="00B56A5D">
              <w:rPr>
                <w:rFonts w:ascii="Arial" w:eastAsia="Calibri" w:hAnsi="Arial" w:cs="Arial"/>
                <w:color w:val="000000"/>
                <w:sz w:val="16"/>
                <w:szCs w:val="16"/>
                <w:u w:color="000000"/>
                <w:bdr w:val="nil"/>
                <w:lang w:eastAsia="en-GB"/>
              </w:rPr>
              <w:t>Kadimi</w:t>
            </w:r>
            <w:proofErr w:type="spellEnd"/>
            <w:r w:rsidRPr="00B56A5D">
              <w:rPr>
                <w:rFonts w:ascii="Arial" w:eastAsia="Calibri" w:hAnsi="Arial" w:cs="Arial"/>
                <w:color w:val="000000"/>
                <w:sz w:val="16"/>
                <w:szCs w:val="16"/>
                <w:u w:color="000000"/>
                <w:bdr w:val="nil"/>
                <w:lang w:eastAsia="en-GB"/>
              </w:rPr>
              <w:t xml:space="preserve"> 2000</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Hyperechoic structure during real-time B- mode evaluation with no Doppler signal or waveform</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r>
      <w:tr w:rsidR="00596454" w:rsidRPr="00B56A5D" w:rsidTr="0008405F">
        <w:trPr>
          <w:trHeight w:val="4204"/>
        </w:trPr>
        <w:tc>
          <w:tcPr>
            <w:tcW w:w="1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Kenton 1997</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A negative AI = reduction in the MFV in the symptomatic side. An AI of -200% = occlusion of the main stem of the symptomatic MCA (flow velocity 0 cm/s). Threshold ±21%.</w:t>
            </w:r>
          </w:p>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Occlusion = lack of signal on the colour display visualization of at least two other vessels and lack of any signal with PW Doppler</w:t>
            </w:r>
            <w:r w:rsidR="00F0398B">
              <w:rPr>
                <w:rFonts w:ascii="Arial" w:eastAsia="Calibri" w:hAnsi="Arial" w:cs="Arial"/>
                <w:color w:val="000000"/>
                <w:sz w:val="16"/>
                <w:szCs w:val="16"/>
                <w:u w:color="000000"/>
                <w:bdr w:val="nil"/>
                <w:lang w:eastAsia="en-GB"/>
              </w:rPr>
              <w:t xml:space="preserve">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r>
      <w:tr w:rsidR="00596454" w:rsidRPr="00B56A5D" w:rsidTr="0008405F">
        <w:trPr>
          <w:trHeight w:val="5580"/>
        </w:trPr>
        <w:tc>
          <w:tcPr>
            <w:tcW w:w="1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lastRenderedPageBreak/>
              <w:t>Nasr 2013</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MCA Main Stem Occlusion: absence of a colour Doppler flow signal and its Doppler spectrum in the location of the proximal MCA segment with sufficient visibility of the other arteries (ACA A1-segment, C1-segment of intracranial ICA) or veins (deep middle cerebral vein) of the anterior circulation or visibility of the contralateral anterior circulation.</w:t>
            </w:r>
          </w:p>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The diagnosis of MCA branch occlusions is based on the calculation of the asymmetry index</w:t>
            </w:r>
            <w:r w:rsidR="00F0398B">
              <w:rPr>
                <w:rFonts w:ascii="Arial" w:eastAsia="Calibri" w:hAnsi="Arial" w:cs="Arial"/>
                <w:color w:val="000000"/>
                <w:sz w:val="16"/>
                <w:szCs w:val="16"/>
                <w:u w:color="000000"/>
                <w:bdr w:val="nil"/>
                <w:lang w:eastAsia="en-GB"/>
              </w:rPr>
              <w:t xml:space="preserve">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r>
      <w:tr w:rsidR="00596454" w:rsidRPr="00B56A5D" w:rsidTr="0008405F">
        <w:trPr>
          <w:trHeight w:val="404"/>
        </w:trPr>
        <w:tc>
          <w:tcPr>
            <w:tcW w:w="1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proofErr w:type="spellStart"/>
            <w:r w:rsidRPr="00B56A5D">
              <w:rPr>
                <w:rFonts w:ascii="Arial" w:eastAsia="Calibri" w:hAnsi="Arial" w:cs="Arial"/>
                <w:color w:val="000000"/>
                <w:sz w:val="16"/>
                <w:szCs w:val="16"/>
                <w:u w:color="000000"/>
                <w:bdr w:val="nil"/>
                <w:lang w:eastAsia="en-GB"/>
              </w:rPr>
              <w:t>Rathakrishnan</w:t>
            </w:r>
            <w:proofErr w:type="spellEnd"/>
            <w:r w:rsidRPr="00B56A5D">
              <w:rPr>
                <w:rFonts w:ascii="Arial" w:eastAsia="Calibri" w:hAnsi="Arial" w:cs="Arial"/>
                <w:color w:val="000000"/>
                <w:sz w:val="16"/>
                <w:szCs w:val="16"/>
                <w:u w:color="000000"/>
                <w:bdr w:val="nil"/>
                <w:lang w:eastAsia="en-GB"/>
              </w:rPr>
              <w:t xml:space="preserve"> 2008</w:t>
            </w:r>
          </w:p>
        </w:tc>
        <w:tc>
          <w:tcPr>
            <w:tcW w:w="32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vertAlign w:val="superscript"/>
                <w:lang w:eastAsia="en-GB"/>
              </w:rPr>
            </w:pPr>
            <w:r w:rsidRPr="00B56A5D">
              <w:rPr>
                <w:rFonts w:ascii="Arial" w:eastAsia="Calibri" w:hAnsi="Arial" w:cs="Arial"/>
                <w:color w:val="000000"/>
                <w:sz w:val="16"/>
                <w:szCs w:val="16"/>
                <w:u w:color="000000"/>
                <w:bdr w:val="nil"/>
                <w:vertAlign w:val="superscript"/>
                <w:lang w:eastAsia="en-GB"/>
              </w:rPr>
              <w:fldChar w:fldCharType="begin" w:fldLock="1"/>
            </w:r>
            <w:r w:rsidR="00F0398B">
              <w:rPr>
                <w:rFonts w:ascii="Arial" w:eastAsia="Calibri" w:hAnsi="Arial" w:cs="Arial"/>
                <w:color w:val="000000"/>
                <w:sz w:val="16"/>
                <w:szCs w:val="16"/>
                <w:u w:color="000000"/>
                <w:vertAlign w:val="superscript"/>
                <w:lang w:eastAsia="en-GB"/>
              </w:rPr>
              <w:instrText>ADDIN CSL_CITATION {"citationItems":[{"id":"ITEM-1","itemData":{"DOI":"10.1161/01.STR.0000150496.27584.e3","ISSN":"1524-4628 (Electronic)","PMID":"15569866","abstract":"BACKGROUND AND PURPOSE: We routinely perform an urgent bedside neurovascular ultrasound examination (NVUE) with carotid/vertebral duplex and transcranial Doppler (TCD) in patients with acute cerebral ischemia. We aimed to determine the yield and accuracy of NVUE to identify lesions amenable for interventional treatment (LAITs). METHODS: NVUE was performed with portable carotid duplex and TCD using standardized fast-track (&lt;15 minutes) insonation protocols. Digital subtraction angiography (DSA) was the gold standard for identifying LAIT. These lesions were defined as proximal intra- or extracranial occlusions, near-occlusions, &gt; or =50% stenoses or thrombus in the symptomatic artery. RESULTS: One hundred and fifty patients (70 women, mean age 66+/-15 years) underwent NVUE at median 128 minutes after symptom onset. Fifty-four patients (36%) received intravenous or intra-arterial thrombolysis (median National Institutes of Health Stroke Scale (NIHSS) score 14, range 4 to 29; 81% had NIHSS &gt; or =10 points). NVUE demonstrated LAITs in 98% of patients eligible for thrombolysis, 76% of acute stroke patients ineligible for thrombolysis (n=63), and 42% in patients with transient ischemic attack (n=33), P&lt;0.001. Urgent DSA was performed in 30 patients on average 230 minutes after NVUE. Compared with DSA, NVUE predicted LAIT presence with 100% sensitivity and 100% specificity, although individual accuracy parameters for TCD and carotid duplex specific to occlusion location ranged 75% to 96% because of the presence of tandem lesions and 10% rate of no temporal windows. CONCLUSIONS: Bedside neurovascular ultrasound examination, combining carotid/vertebral duplex with TCD yields a substantial proportion of LAITs in excellent agreement with urgent DSA.","author":[{"dropping-particle":"","family":"Chernyshev","given":"Oleg Y","non-dropping-particle":"","parse-names":false,"suffix":""},{"dropping-particle":"","family":"Garami","given":"Zsolt","non-dropping-particle":"","parse-names":false,"suffix":""},{"dropping-particle":"","family":"Calleja","given":"Sergio","non-dropping-particle":"","parse-names":false,"suffix":""},{"dropping-particle":"","family":"Song","given":"Joon","non-dropping-particle":"","parse-names":false,"suffix":""},{"dropping-particle":"","family":"Campbell","given":"Morgan S","non-dropping-particle":"","parse-names":false,"suffix":""},{"dropping-particle":"","family":"Noser","given":"Elizabeth A","non-dropping-particle":"","parse-names":false,"suffix":""},{"dropping-particle":"","family":"Shaltoni","given":"Hashem","non-dropping-particle":"","parse-names":false,"suffix":""},{"dropping-particle":"","family":"Chen","given":"Chin-I","non-dropping-particle":"","parse-names":false,"suffix":""},{"dropping-particle":"","family":"Iguchi","given":"Yasuyuki","non-dropping-particle":"","parse-names":false,"suffix":""},{"dropping-particle":"","family":"Grotta","given":"James C","non-dropping-particle":"","parse-names":false,"suffix":""},{"dropping-particle":"V","family":"Alexandrov","given":"Andrei","non-dropping-particle":"","parse-names":false,"suffix":""}],"container-title":"Stroke","id":"ITEM-1","issue":"1","issued":{"date-parts":[["2005","1"]]},"language":"eng","page":"32-37","publisher-place":"United States","title":"Yield and accuracy of urgent combined carotid/transcranial ultrasound testing in  acute cerebral ischemia.","type":"article-journal","volume":"36"},"uris":["http://www.mendeley.com/documents/?uuid=de3ee672-32b3-40d6-bb45-86d6597b1bcc"]},{"id":"ITEM-2","itemData":{"ISSN":"1051-2284 (Print)","PMID":"10666975","abstract":"The authors determined transcranial Doppler (TCD) accuracy for the proximal internal carotid artery (ICA), distal ICA, proximal middle cerebral artery (MCA), distal MCA, anterior cerebral artery (ACA), posterior cerebral artery (PCA), terminal vertebral artery (tVA), and basilar artery (BA) occlusion in cerebral ischemia patients. Detailed diagnostic criteria were prospectively applied for TCD interpretation independent of angiographic findings. Of 320 consecutive patients referred to the neurosonology service with symptoms of cerebral ischemia, 190 (59%) patients also underwent angiography (MRA or DSA). 48 of those 190 patients had angiographic occlusion and 12 of those 48 patients had involvement of multiple vessels. Median time from TCD until angiography was performed was 1 hour (41 patients had angiography before TCD). TCD showed 40 true positive, 8 false negative, 8 false positive, and 134 true negative studies with sensitivity 83.0%, specificity 94.4%, positive predictive value 83.0%, negative predictive value 94.4%, and accuracy 91.6% to determine all sites of occlusion. Sensitivity for each individual occlusion site was: proximal ICA 94%, distal ICA 81%, MCA 93% tVA 56%, BA 60%. Specificity ranged from 96% to 98%. TCD is sensitive and specific in determining the site of the arterial occlusion using detailed diagnostic criteria, including proximal ICA and distal MCA lesions. TCD has the highest accuracy for ICA and MCA occlusions. If the results of TCD are normal, there is at least a 94% chance that angiographic studies will be negative.","author":[{"dropping-particle":"","family":"Demchuk","given":"A M","non-dropping-particle":"","parse-names":false,"suffix":""},{"dropping-particle":"","family":"Christou","given":"I","non-dropping-particle":"","parse-names":false,"suffix":""},{"dropping-particle":"","family":"Wein","given":"T H","non-dropping-particle":"","parse-names":false,"suffix":""},{"dropping-particle":"","family":"Felberg","given":"R A","non-dropping-particle":"","parse-names":false,"suffix":""},{"dropping-particle":"","family":"Malkoff","given":"M","non-dropping-particle":"","parse-names":false,"suffix":""},{"dropping-particle":"","family":"Grotta","given":"J C","non-dropping-particle":"","parse-names":false,"suffix":""},{"dropping-particle":"V","family":"Alexandrov","given":"A","non-dropping-particle":"","parse-names":false,"suffix":""}],"container-title":"Journal of neuroimaging : official journal of the American Society of Neuroimaging","id":"ITEM-2","issue":"1","issued":{"date-parts":[["2000","1"]]},"language":"eng","page":"1-12","publisher-place":"United States","title":"Accuracy and criteria for localizing arterial occlusion with transcranial Doppler.","type":"article-journal","volume":"10"},"uris":["http://www.mendeley.com/documents/?uuid=dbab2dd5-88a5-4f66-9f2e-b28f742e0919"]}],"mendeley":{"formattedCitation":"(Demchuk &lt;i&gt;et al.&lt;/i&gt;, 2000; Chernyshev &lt;i&gt;et al.&lt;/i&gt;, 2005)","manualFormatting":"Demchuk et al (2000), Chernyshev et al (2005)","plainTextFormattedCitation":"(Demchuk et al., 2000; Chernyshev et al., 2005)","previouslyFormattedCitation":"[68,69]"},"properties":{"noteIndex":0},"schema":"https://github.com/citation-style-language/schema/raw/master/csl-citation.json"}</w:instrText>
            </w:r>
            <w:r w:rsidRPr="00B56A5D">
              <w:rPr>
                <w:rFonts w:ascii="Arial" w:eastAsia="Calibri" w:hAnsi="Arial" w:cs="Arial"/>
                <w:color w:val="000000"/>
                <w:sz w:val="16"/>
                <w:szCs w:val="16"/>
                <w:u w:color="000000"/>
                <w:bdr w:val="nil"/>
                <w:vertAlign w:val="superscript"/>
                <w:lang w:eastAsia="en-GB"/>
              </w:rPr>
              <w:fldChar w:fldCharType="separate"/>
            </w:r>
            <w:r w:rsidR="00F0398B" w:rsidRPr="00F0398B">
              <w:rPr>
                <w:rFonts w:ascii="Arial" w:eastAsia="Calibri" w:hAnsi="Arial" w:cs="Arial"/>
                <w:noProof/>
                <w:color w:val="000000"/>
                <w:sz w:val="16"/>
                <w:szCs w:val="16"/>
                <w:u w:color="000000"/>
                <w:lang w:eastAsia="en-GB"/>
              </w:rPr>
              <w:t xml:space="preserve">Demchuk et al </w:t>
            </w:r>
            <w:r w:rsidR="00F0398B">
              <w:rPr>
                <w:rFonts w:ascii="Arial" w:eastAsia="Calibri" w:hAnsi="Arial" w:cs="Arial"/>
                <w:noProof/>
                <w:color w:val="000000"/>
                <w:sz w:val="16"/>
                <w:szCs w:val="16"/>
                <w:u w:color="000000"/>
                <w:lang w:eastAsia="en-GB"/>
              </w:rPr>
              <w:t>(</w:t>
            </w:r>
            <w:r w:rsidR="00F0398B" w:rsidRPr="00F0398B">
              <w:rPr>
                <w:rFonts w:ascii="Arial" w:eastAsia="Calibri" w:hAnsi="Arial" w:cs="Arial"/>
                <w:noProof/>
                <w:color w:val="000000"/>
                <w:sz w:val="16"/>
                <w:szCs w:val="16"/>
                <w:u w:color="000000"/>
                <w:lang w:eastAsia="en-GB"/>
              </w:rPr>
              <w:t>2000</w:t>
            </w:r>
            <w:r w:rsidR="00F0398B">
              <w:rPr>
                <w:rFonts w:ascii="Arial" w:eastAsia="Calibri" w:hAnsi="Arial" w:cs="Arial"/>
                <w:noProof/>
                <w:color w:val="000000"/>
                <w:sz w:val="16"/>
                <w:szCs w:val="16"/>
                <w:u w:color="000000"/>
                <w:lang w:eastAsia="en-GB"/>
              </w:rPr>
              <w:t xml:space="preserve">), </w:t>
            </w:r>
            <w:r w:rsidR="00F0398B" w:rsidRPr="00F0398B">
              <w:rPr>
                <w:rFonts w:ascii="Arial" w:eastAsia="Calibri" w:hAnsi="Arial" w:cs="Arial"/>
                <w:noProof/>
                <w:color w:val="000000"/>
                <w:sz w:val="16"/>
                <w:szCs w:val="16"/>
                <w:u w:color="000000"/>
                <w:lang w:eastAsia="en-GB"/>
              </w:rPr>
              <w:t xml:space="preserve">Chernyshev et al </w:t>
            </w:r>
            <w:r w:rsidR="00F0398B">
              <w:rPr>
                <w:rFonts w:ascii="Arial" w:eastAsia="Calibri" w:hAnsi="Arial" w:cs="Arial"/>
                <w:noProof/>
                <w:color w:val="000000"/>
                <w:sz w:val="16"/>
                <w:szCs w:val="16"/>
                <w:u w:color="000000"/>
                <w:lang w:eastAsia="en-GB"/>
              </w:rPr>
              <w:t>(</w:t>
            </w:r>
            <w:r w:rsidR="00F0398B" w:rsidRPr="00F0398B">
              <w:rPr>
                <w:rFonts w:ascii="Arial" w:eastAsia="Calibri" w:hAnsi="Arial" w:cs="Arial"/>
                <w:noProof/>
                <w:color w:val="000000"/>
                <w:sz w:val="16"/>
                <w:szCs w:val="16"/>
                <w:u w:color="000000"/>
                <w:lang w:eastAsia="en-GB"/>
              </w:rPr>
              <w:t>2005)</w:t>
            </w:r>
            <w:r w:rsidRPr="00B56A5D">
              <w:rPr>
                <w:rFonts w:ascii="Arial" w:eastAsia="Calibri" w:hAnsi="Arial" w:cs="Arial"/>
                <w:color w:val="000000"/>
                <w:sz w:val="16"/>
                <w:szCs w:val="16"/>
                <w:u w:color="000000"/>
                <w:bdr w:val="nil"/>
                <w:vertAlign w:val="superscript"/>
                <w:lang w:eastAsia="en-GB"/>
              </w:rPr>
              <w:fldChar w:fldCharType="end"/>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309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F0398B"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vertAlign w:val="superscript"/>
                <w:lang w:eastAsia="en-GB"/>
              </w:rPr>
              <w:fldChar w:fldCharType="begin" w:fldLock="1"/>
            </w:r>
            <w:r>
              <w:rPr>
                <w:rFonts w:ascii="Arial" w:eastAsia="Calibri" w:hAnsi="Arial" w:cs="Arial"/>
                <w:color w:val="000000"/>
                <w:sz w:val="16"/>
                <w:szCs w:val="16"/>
                <w:u w:color="000000"/>
                <w:vertAlign w:val="superscript"/>
                <w:lang w:eastAsia="en-GB"/>
              </w:rPr>
              <w:instrText>ADDIN CSL_CITATION {"citationItems":[{"id":"ITEM-1","itemData":{"DOI":"10.1161/01.STR.0000150496.27584.e3","ISSN":"1524-4628 (Electronic)","PMID":"15569866","abstract":"BACKGROUND AND PURPOSE: We routinely perform an urgent bedside neurovascular ultrasound examination (NVUE) with carotid/vertebral duplex and transcranial Doppler (TCD) in patients with acute cerebral ischemia. We aimed to determine the yield and accuracy of NVUE to identify lesions amenable for interventional treatment (LAITs). METHODS: NVUE was performed with portable carotid duplex and TCD using standardized fast-track (&lt;15 minutes) insonation protocols. Digital subtraction angiography (DSA) was the gold standard for identifying LAIT. These lesions were defined as proximal intra- or extracranial occlusions, near-occlusions, &gt; or =50% stenoses or thrombus in the symptomatic artery. RESULTS: One hundred and fifty patients (70 women, mean age 66+/-15 years) underwent NVUE at median 128 minutes after symptom onset. Fifty-four patients (36%) received intravenous or intra-arterial thrombolysis (median National Institutes of Health Stroke Scale (NIHSS) score 14, range 4 to 29; 81% had NIHSS &gt; or =10 points). NVUE demonstrated LAITs in 98% of patients eligible for thrombolysis, 76% of acute stroke patients ineligible for thrombolysis (n=63), and 42% in patients with transient ischemic attack (n=33), P&lt;0.001. Urgent DSA was performed in 30 patients on average 230 minutes after NVUE. Compared with DSA, NVUE predicted LAIT presence with 100% sensitivity and 100% specificity, although individual accuracy parameters for TCD and carotid duplex specific to occlusion location ranged 75% to 96% because of the presence of tandem lesions and 10% rate of no temporal windows. CONCLUSIONS: Bedside neurovascular ultrasound examination, combining carotid/vertebral duplex with TCD yields a substantial proportion of LAITs in excellent agreement with urgent DSA.","author":[{"dropping-particle":"","family":"Chernyshev","given":"Oleg Y","non-dropping-particle":"","parse-names":false,"suffix":""},{"dropping-particle":"","family":"Garami","given":"Zsolt","non-dropping-particle":"","parse-names":false,"suffix":""},{"dropping-particle":"","family":"Calleja","given":"Sergio","non-dropping-particle":"","parse-names":false,"suffix":""},{"dropping-particle":"","family":"Song","given":"Joon","non-dropping-particle":"","parse-names":false,"suffix":""},{"dropping-particle":"","family":"Campbell","given":"Morgan S","non-dropping-particle":"","parse-names":false,"suffix":""},{"dropping-particle":"","family":"Noser","given":"Elizabeth A","non-dropping-particle":"","parse-names":false,"suffix":""},{"dropping-particle":"","family":"Shaltoni","given":"Hashem","non-dropping-particle":"","parse-names":false,"suffix":""},{"dropping-particle":"","family":"Chen","given":"Chin-I","non-dropping-particle":"","parse-names":false,"suffix":""},{"dropping-particle":"","family":"Iguchi","given":"Yasuyuki","non-dropping-particle":"","parse-names":false,"suffix":""},{"dropping-particle":"","family":"Grotta","given":"James C","non-dropping-particle":"","parse-names":false,"suffix":""},{"dropping-particle":"V","family":"Alexandrov","given":"Andrei","non-dropping-particle":"","parse-names":false,"suffix":""}],"container-title":"Stroke","id":"ITEM-1","issue":"1","issued":{"date-parts":[["2005","1"]]},"language":"eng","page":"32-37","publisher-place":"United States","title":"Yield and accuracy of urgent combined carotid/transcranial ultrasound testing in  acute cerebral ischemia.","type":"article-journal","volume":"36"},"uris":["http://www.mendeley.com/documents/?uuid=de3ee672-32b3-40d6-bb45-86d6597b1bcc"]},{"id":"ITEM-2","itemData":{"ISSN":"1051-2284 (Print)","PMID":"10666975","abstract":"The authors determined transcranial Doppler (TCD) accuracy for the proximal internal carotid artery (ICA), distal ICA, proximal middle cerebral artery (MCA), distal MCA, anterior cerebral artery (ACA), posterior cerebral artery (PCA), terminal vertebral artery (tVA), and basilar artery (BA) occlusion in cerebral ischemia patients. Detailed diagnostic criteria were prospectively applied for TCD interpretation independent of angiographic findings. Of 320 consecutive patients referred to the neurosonology service with symptoms of cerebral ischemia, 190 (59%) patients also underwent angiography (MRA or DSA). 48 of those 190 patients had angiographic occlusion and 12 of those 48 patients had involvement of multiple vessels. Median time from TCD until angiography was performed was 1 hour (41 patients had angiography before TCD). TCD showed 40 true positive, 8 false negative, 8 false positive, and 134 true negative studies with sensitivity 83.0%, specificity 94.4%, positive predictive value 83.0%, negative predictive value 94.4%, and accuracy 91.6% to determine all sites of occlusion. Sensitivity for each individual occlusion site was: proximal ICA 94%, distal ICA 81%, MCA 93% tVA 56%, BA 60%. Specificity ranged from 96% to 98%. TCD is sensitive and specific in determining the site of the arterial occlusion using detailed diagnostic criteria, including proximal ICA and distal MCA lesions. TCD has the highest accuracy for ICA and MCA occlusions. If the results of TCD are normal, there is at least a 94% chance that angiographic studies will be negative.","author":[{"dropping-particle":"","family":"Demchuk","given":"A M","non-dropping-particle":"","parse-names":false,"suffix":""},{"dropping-particle":"","family":"Christou","given":"I","non-dropping-particle":"","parse-names":false,"suffix":""},{"dropping-particle":"","family":"Wein","given":"T H","non-dropping-particle":"","parse-names":false,"suffix":""},{"dropping-particle":"","family":"Felberg","given":"R A","non-dropping-particle":"","parse-names":false,"suffix":""},{"dropping-particle":"","family":"Malkoff","given":"M","non-dropping-particle":"","parse-names":false,"suffix":""},{"dropping-particle":"","family":"Grotta","given":"J C","non-dropping-particle":"","parse-names":false,"suffix":""},{"dropping-particle":"V","family":"Alexandrov","given":"A","non-dropping-particle":"","parse-names":false,"suffix":""}],"container-title":"Journal of neuroimaging : official journal of the American Society of Neuroimaging","id":"ITEM-2","issue":"1","issued":{"date-parts":[["2000","1"]]},"language":"eng","page":"1-12","publisher-place":"United States","title":"Accuracy and criteria for localizing arterial occlusion with transcranial Doppler.","type":"article-journal","volume":"10"},"uris":["http://www.mendeley.com/documents/?uuid=dbab2dd5-88a5-4f66-9f2e-b28f742e0919"]}],"mendeley":{"formattedCitation":"(Demchuk &lt;i&gt;et al.&lt;/i&gt;, 2000; Chernyshev &lt;i&gt;et al.&lt;/i&gt;, 2005)","plainTextFormattedCitation":"(Demchuk et al., 2000; Chernyshev et al., 2005)","previouslyFormattedCitation":"[68,69]"},"properties":{"noteIndex":0},"schema":"https://github.com/citation-style-language/schema/raw/master/csl-citation.json"}</w:instrText>
            </w:r>
            <w:r w:rsidRPr="00B56A5D">
              <w:rPr>
                <w:rFonts w:ascii="Arial" w:eastAsia="Calibri" w:hAnsi="Arial" w:cs="Arial"/>
                <w:color w:val="000000"/>
                <w:sz w:val="16"/>
                <w:szCs w:val="16"/>
                <w:u w:color="000000"/>
                <w:bdr w:val="nil"/>
                <w:vertAlign w:val="superscript"/>
                <w:lang w:eastAsia="en-GB"/>
              </w:rPr>
              <w:fldChar w:fldCharType="separate"/>
            </w:r>
            <w:r w:rsidRPr="00F0398B">
              <w:rPr>
                <w:rFonts w:ascii="Arial" w:eastAsia="Calibri" w:hAnsi="Arial" w:cs="Arial"/>
                <w:noProof/>
                <w:color w:val="000000"/>
                <w:sz w:val="16"/>
                <w:szCs w:val="16"/>
                <w:u w:color="000000"/>
                <w:lang w:eastAsia="en-GB"/>
              </w:rPr>
              <w:t xml:space="preserve">Demchuk et al </w:t>
            </w:r>
            <w:r>
              <w:rPr>
                <w:rFonts w:ascii="Arial" w:eastAsia="Calibri" w:hAnsi="Arial" w:cs="Arial"/>
                <w:noProof/>
                <w:color w:val="000000"/>
                <w:sz w:val="16"/>
                <w:szCs w:val="16"/>
                <w:u w:color="000000"/>
                <w:lang w:eastAsia="en-GB"/>
              </w:rPr>
              <w:t>(</w:t>
            </w:r>
            <w:r w:rsidRPr="00F0398B">
              <w:rPr>
                <w:rFonts w:ascii="Arial" w:eastAsia="Calibri" w:hAnsi="Arial" w:cs="Arial"/>
                <w:noProof/>
                <w:color w:val="000000"/>
                <w:sz w:val="16"/>
                <w:szCs w:val="16"/>
                <w:u w:color="000000"/>
                <w:lang w:eastAsia="en-GB"/>
              </w:rPr>
              <w:t>2000</w:t>
            </w:r>
            <w:r>
              <w:rPr>
                <w:rFonts w:ascii="Arial" w:eastAsia="Calibri" w:hAnsi="Arial" w:cs="Arial"/>
                <w:noProof/>
                <w:color w:val="000000"/>
                <w:sz w:val="16"/>
                <w:szCs w:val="16"/>
                <w:u w:color="000000"/>
                <w:lang w:eastAsia="en-GB"/>
              </w:rPr>
              <w:t xml:space="preserve">), </w:t>
            </w:r>
            <w:r w:rsidRPr="00F0398B">
              <w:rPr>
                <w:rFonts w:ascii="Arial" w:eastAsia="Calibri" w:hAnsi="Arial" w:cs="Arial"/>
                <w:noProof/>
                <w:color w:val="000000"/>
                <w:sz w:val="16"/>
                <w:szCs w:val="16"/>
                <w:u w:color="000000"/>
                <w:lang w:eastAsia="en-GB"/>
              </w:rPr>
              <w:t xml:space="preserve">Chernyshev et al </w:t>
            </w:r>
            <w:r>
              <w:rPr>
                <w:rFonts w:ascii="Arial" w:eastAsia="Calibri" w:hAnsi="Arial" w:cs="Arial"/>
                <w:noProof/>
                <w:color w:val="000000"/>
                <w:sz w:val="16"/>
                <w:szCs w:val="16"/>
                <w:u w:color="000000"/>
                <w:lang w:eastAsia="en-GB"/>
              </w:rPr>
              <w:t>(</w:t>
            </w:r>
            <w:r w:rsidRPr="00F0398B">
              <w:rPr>
                <w:rFonts w:ascii="Arial" w:eastAsia="Calibri" w:hAnsi="Arial" w:cs="Arial"/>
                <w:noProof/>
                <w:color w:val="000000"/>
                <w:sz w:val="16"/>
                <w:szCs w:val="16"/>
                <w:u w:color="000000"/>
                <w:lang w:eastAsia="en-GB"/>
              </w:rPr>
              <w:t>2005)</w:t>
            </w:r>
            <w:r w:rsidRPr="00B56A5D">
              <w:rPr>
                <w:rFonts w:ascii="Arial" w:eastAsia="Calibri" w:hAnsi="Arial" w:cs="Arial"/>
                <w:color w:val="000000"/>
                <w:sz w:val="16"/>
                <w:szCs w:val="16"/>
                <w:u w:color="000000"/>
                <w:bdr w:val="nil"/>
                <w:vertAlign w:val="superscript"/>
                <w:lang w:eastAsia="en-GB"/>
              </w:rPr>
              <w:fldChar w:fldCharType="end"/>
            </w:r>
          </w:p>
        </w:tc>
      </w:tr>
      <w:tr w:rsidR="00596454" w:rsidRPr="00B56A5D" w:rsidTr="0008405F">
        <w:trPr>
          <w:trHeight w:val="4404"/>
        </w:trPr>
        <w:tc>
          <w:tcPr>
            <w:tcW w:w="1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Seidel 2009</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MCA (M1) occlusion: no MCA stem signal on the colour display, no Doppler signal when tracing the lateral fissure visible in B-mode, and detectable distal ICA or ACA Doppler signal.</w:t>
            </w:r>
          </w:p>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MCA large branch or multiple branches (M2) occlusion: based on the AI: diminution of MFV of the MCA of 21%</w:t>
            </w:r>
            <w:r w:rsidR="00F0398B">
              <w:rPr>
                <w:rFonts w:ascii="Arial" w:eastAsia="Calibri" w:hAnsi="Arial" w:cs="Arial"/>
                <w:color w:val="000000"/>
                <w:sz w:val="16"/>
                <w:szCs w:val="16"/>
                <w:u w:color="000000"/>
                <w:bdr w:val="nil"/>
                <w:lang w:eastAsia="en-GB"/>
              </w:rPr>
              <w:t xml:space="preserve">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309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r>
      <w:tr w:rsidR="00596454" w:rsidRPr="00B56A5D" w:rsidTr="0008405F">
        <w:trPr>
          <w:trHeight w:val="4163"/>
        </w:trPr>
        <w:tc>
          <w:tcPr>
            <w:tcW w:w="1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proofErr w:type="spellStart"/>
            <w:r w:rsidRPr="00B56A5D">
              <w:rPr>
                <w:rFonts w:ascii="Arial" w:eastAsia="Calibri" w:hAnsi="Arial" w:cs="Arial"/>
                <w:color w:val="000000"/>
                <w:sz w:val="16"/>
                <w:szCs w:val="16"/>
                <w:u w:color="000000"/>
                <w:bdr w:val="nil"/>
                <w:lang w:eastAsia="en-GB"/>
              </w:rPr>
              <w:lastRenderedPageBreak/>
              <w:t>Tsivgoulis</w:t>
            </w:r>
            <w:proofErr w:type="spellEnd"/>
            <w:r w:rsidRPr="00B56A5D">
              <w:rPr>
                <w:rFonts w:ascii="Arial" w:eastAsia="Calibri" w:hAnsi="Arial" w:cs="Arial"/>
                <w:color w:val="000000"/>
                <w:sz w:val="16"/>
                <w:szCs w:val="16"/>
                <w:u w:color="000000"/>
                <w:bdr w:val="nil"/>
                <w:lang w:eastAsia="en-GB"/>
              </w:rPr>
              <w:t xml:space="preserve"> 2007</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Proximal (M1) MCA occlusion: absence of flow or the presence of minimal, blunted, or damped flow signals throughout the MCA at an insonation depth of 45 to 65 mm, + flow diversion in the ipsilateral ACA or posterior cerebral artery.</w:t>
            </w:r>
          </w:p>
          <w:p w:rsidR="00596454" w:rsidRPr="00B56A5D" w:rsidRDefault="00596454" w:rsidP="0008405F">
            <w:pPr>
              <w:pBdr>
                <w:top w:val="nil"/>
                <w:left w:val="nil"/>
                <w:bottom w:val="nil"/>
                <w:right w:val="nil"/>
                <w:between w:val="nil"/>
                <w:bar w:val="nil"/>
              </w:pBdr>
              <w:spacing w:after="0" w:line="240" w:lineRule="auto"/>
              <w:rPr>
                <w:rFonts w:ascii="Arial" w:eastAsia="Arial"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Distal (M2) MCA occlusion: minimal, blunted, or damped flow signals at an insonation depth of 30 to 45 mm + the presence of flow diversion signals in ipsilateral neighbouring arteries (i.e., other</w:t>
            </w:r>
          </w:p>
          <w:p w:rsidR="00596454" w:rsidRPr="00B56A5D" w:rsidRDefault="00596454" w:rsidP="0008405F">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M2 branches)</w:t>
            </w:r>
            <w:r w:rsidR="00F0398B">
              <w:rPr>
                <w:rFonts w:ascii="Arial" w:eastAsia="Calibri" w:hAnsi="Arial" w:cs="Arial"/>
                <w:color w:val="000000"/>
                <w:sz w:val="16"/>
                <w:szCs w:val="16"/>
                <w:u w:color="000000"/>
                <w:bdr w:val="nil"/>
                <w:lang w:eastAsia="en-GB"/>
              </w:rPr>
              <w:t xml:space="preserve"> </w:t>
            </w:r>
          </w:p>
          <w:p w:rsidR="00596454" w:rsidRPr="00B56A5D" w:rsidRDefault="00596454" w:rsidP="0008405F">
            <w:pPr>
              <w:spacing w:line="240" w:lineRule="auto"/>
              <w:rPr>
                <w:rFonts w:ascii="Arial" w:eastAsia="Calibri" w:hAnsi="Arial" w:cs="Arial"/>
                <w:sz w:val="16"/>
                <w:szCs w:val="16"/>
                <w:lang w:eastAsia="en-GB"/>
              </w:rPr>
            </w:pPr>
          </w:p>
          <w:p w:rsidR="00596454" w:rsidRPr="00B56A5D" w:rsidRDefault="00596454" w:rsidP="0008405F">
            <w:pPr>
              <w:spacing w:line="240" w:lineRule="auto"/>
              <w:rPr>
                <w:rFonts w:ascii="Arial" w:eastAsia="Calibri" w:hAnsi="Arial" w:cs="Arial"/>
                <w:sz w:val="16"/>
                <w:szCs w:val="16"/>
                <w:lang w:eastAsia="en-GB"/>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TICA occlusion: absence of flow or the presence of minimal, blunted, or damped flow signals at an insonation depth of 60 to 70 mm accompanied by anterior cross-filing with flow reversal at the ipsilateral ACA or collateral flow with increased velocities in the ipsilateral-posterior communicating</w:t>
            </w:r>
          </w:p>
          <w:p w:rsidR="00596454" w:rsidRPr="00B56A5D" w:rsidRDefault="00F0398B"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Pr>
                <w:rFonts w:ascii="Arial" w:eastAsia="Calibri" w:hAnsi="Arial" w:cs="Arial"/>
                <w:color w:val="000000"/>
                <w:sz w:val="16"/>
                <w:szCs w:val="16"/>
                <w:u w:color="000000"/>
                <w:bdr w:val="nil"/>
                <w:lang w:eastAsia="en-GB"/>
              </w:rPr>
              <w:t>a</w:t>
            </w:r>
            <w:r w:rsidR="00596454" w:rsidRPr="00B56A5D">
              <w:rPr>
                <w:rFonts w:ascii="Arial" w:eastAsia="Calibri" w:hAnsi="Arial" w:cs="Arial"/>
                <w:color w:val="000000"/>
                <w:sz w:val="16"/>
                <w:szCs w:val="16"/>
                <w:u w:color="000000"/>
                <w:bdr w:val="nil"/>
                <w:lang w:eastAsia="en-GB"/>
              </w:rPr>
              <w:t>rtery</w:t>
            </w:r>
            <w:r>
              <w:rPr>
                <w:rFonts w:ascii="Arial" w:eastAsia="Calibri" w:hAnsi="Arial" w:cs="Arial"/>
                <w:color w:val="000000"/>
                <w:sz w:val="16"/>
                <w:szCs w:val="16"/>
                <w:u w:color="000000"/>
                <w:bdr w:val="nil"/>
                <w:lang w:eastAsia="en-GB"/>
              </w:rPr>
              <w:t xml:space="preserve"> </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Absence of flow or the presence of minimal, blunted, or damped flow signals at an insonation depth of 62 to 75 mm</w:t>
            </w:r>
            <w:r w:rsidR="00F0398B">
              <w:rPr>
                <w:rFonts w:ascii="Arial" w:eastAsia="Calibri" w:hAnsi="Arial" w:cs="Arial"/>
                <w:color w:val="000000"/>
                <w:sz w:val="16"/>
                <w:szCs w:val="16"/>
                <w:u w:color="000000"/>
                <w:bdr w:val="nil"/>
                <w:lang w:eastAsia="en-GB"/>
              </w:rPr>
              <w:t xml:space="preserve"> </w:t>
            </w:r>
          </w:p>
        </w:tc>
        <w:tc>
          <w:tcPr>
            <w:tcW w:w="309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vertAlign w:val="superscript"/>
                <w:lang w:eastAsia="en-GB"/>
              </w:rPr>
            </w:pPr>
            <w:r w:rsidRPr="00B56A5D">
              <w:rPr>
                <w:rFonts w:ascii="Arial" w:eastAsia="Calibri" w:hAnsi="Arial" w:cs="Arial"/>
                <w:color w:val="000000"/>
                <w:sz w:val="16"/>
                <w:szCs w:val="16"/>
                <w:u w:color="000000"/>
                <w:bdr w:val="nil"/>
                <w:vertAlign w:val="superscript"/>
                <w:lang w:eastAsia="en-GB"/>
              </w:rPr>
              <w:fldChar w:fldCharType="begin" w:fldLock="1"/>
            </w:r>
            <w:r w:rsidR="00F0398B">
              <w:rPr>
                <w:rFonts w:ascii="Arial" w:eastAsia="Calibri" w:hAnsi="Arial" w:cs="Arial"/>
                <w:color w:val="000000"/>
                <w:sz w:val="16"/>
                <w:szCs w:val="16"/>
                <w:u w:color="000000"/>
                <w:vertAlign w:val="superscript"/>
                <w:lang w:eastAsia="en-GB"/>
              </w:rPr>
              <w:instrText>ADDIN CSL_CITATION {"citationItems":[{"id":"ITEM-1","itemData":{"DOI":"10.1056/NEJMoa041175","ISSN":"1533-4406 (Electronic)","PMID":"15548777","abstract":"BACKGROUND: Transcranial Doppler ultrasonography that is aimed at residual obstructive intracranial blood flow may help expose thrombi to tissue plasminogen activator (t-PA). Our objective was to determine whether ultrasonography can safely enhance the thrombolytic activity of t-PA. METHODS: We treated all patients who had acute ischemic stroke due to occlusion of the middle cerebral artery with intravenous t-PA within three hours after the onset of symptoms. The patients were randomly assigned to receive continuous 2-MHz transcranial Doppler ultrasonography (the target group) or placebo (the control group). The primary combined end point was complete recanalization as assessed by transcranial Doppler ultrasonography or dramatic clinical recovery. Secondary end points included recovery at 24 hours, a favorable outcome at three months, and death at three months. RESULTS: A total of 126 patients were randomly assigned to receive continuous ultrasonography (63 patients) or placebo (63 patients). Symptomatic intracerebral hemorrhage occurred in three patients in the target group and in three in the control group. Complete recanalization or dramatic clinical recovery within two hours after the administration of a t-PA bolus occurred in 31 patients in the target group (49 percent), as compared with 19 patients in the control group (30 percent; P=0.03). Twenty-four hours after treatment of the patients eligible for follow-up, 24 in the target group (44 percent) and 21 in the control group (40 percent) had dramatic clinical recovery (P=0.7). At three months, 22 of 53 patients in the target group who were eligible for follow-up analysis (42 percent) and 14 of 49 in the control group (29 percent) had favorable outcomes (as indicated by a score of 0 to 1 on the modified Rankin scale) (P=0.20). CONCLUSIONS: In patients with acute ischemic stroke, continuous transcranial Doppler augments t-PA-induced arterial recanalization, with a nonsignificant trend toward an increased rate of recovery from stroke, as compared with placebo.","author":[{"dropping-particle":"V","family":"Alexandrov","given":"Andrei","non-dropping-particle":"","parse-names":false,"suffix":""},{"dropping-particle":"","family":"Molina","given":"Carlos A","non-dropping-particle":"","parse-names":false,"suffix":""},{"dropping-particle":"","family":"Grotta","given":"James C","non-dropping-particle":"","parse-names":false,"suffix":""},{"dropping-particle":"","family":"Garami","given":"Zsolt","non-dropping-particle":"","parse-names":false,"suffix":""},{"dropping-particle":"","family":"Ford","given":"Shiela R","non-dropping-particle":"","parse-names":false,"suffix":""},{"dropping-particle":"","family":"Alvarez-Sabin","given":"Jose","non-dropping-particle":"","parse-names":false,"suffix":""},{"dropping-particle":"","family":"Montaner","given":"Joan","non-dropping-particle":"","parse-names":false,"suffix":""},{"dropping-particle":"","family":"Saqqur","given":"Maher","non-dropping-particle":"","parse-names":false,"suffix":""},{"dropping-particle":"","family":"Demchuk","given":"Andrew M","non-dropping-particle":"","parse-names":false,"suffix":""},{"dropping-particle":"","family":"Moye","given":"Lemuel A","non-dropping-particle":"","parse-names":false,"suffix":""},{"dropping-particle":"","family":"Hill","given":"Michael D","non-dropping-particle":"","parse-names":false,"suffix":""},{"dropping-particle":"","family":"Wojner","given":"Anne W","non-dropping-particle":"","parse-names":false,"suffix":""}],"container-title":"The New England journal of medicine","id":"ITEM-1","issue":"21","issued":{"date-parts":[["2004","11"]]},"language":"eng","page":"2170-2178","publisher-place":"United States","title":"Ultrasound-enhanced systemic thrombolysis for acute ischemic stroke.","type":"article-journal","volume":"351"},"uris":["http://www.mendeley.com/documents/?uuid=a04d85d7-a552-4919-9784-cef0ff7aa2ae"]},{"id":"ITEM-2","itemData":{"DOI":"10.1111/j.1552-6569.2006.00088.x","ISSN":"1051-2284 (Print)","PMID":"17238867","abstract":"Indications for the clinical use of transcranial Doppler (TCD) continue to expand while scanning protocols and quality of reporting vary between institutions. Based on literature analysis and extensive personal experience, an international expert panel started the development of guidelines for TCD performance, interpretation, and competence. The first part describes complete diagnostic spectral TCD examination for patients with cerebrovascular diseases. Cranial temporal bone windows are used for the detection of the middle cerebral arteries (MCA), anterior cerebral arteries (ACA), posterior cerebral arteries (PCA), C1 segment of the internal carotid arteries (ICA), and collateralization of flow via the anterior (AComA) and posterior (PComA) communicating arteries; orbital windows-for the ophthalmic artery (OA) and ICA siphon; the foraminal window-for the terminal vertebral (VA) and basilar (BA) arteries. Although there is a significant individual variability of the circle of Willis with and without disease, the complete diagnostic TCD examination should include bilateral assessment of the M2 (arbitrarily located at 30-40 mm depth), M1 (40-65 mm) MCA [with M1 MCA mid-point at 50 mm (range 45-55 mm), average length 16 mm (range 5-24 mm), A1 ACA (60-75 mm), C1 ICA (60-70 mm), P1-P2 PCA (average depth 63 mm (range 55-75 mm), AComA (70-80 mm), PComA (58-65 mm), OA (40-50 mm), ICA siphons (55-65 mm), terminal VA (40-75 mm), proximal (75-80), mid (80-90 mm), and distal (90-110 mm) BA]. The distal ICA on the neck (40-60 mm) can be located via submandibular windows to calculate the VMCA/VICA index, or the Lindegaard ratio for vasospasm grading after subarachnoid hemorrhage. Performance goals of diagnostic TCD are to detect and optimize arterial segment-specific spectral waveforms, determine flow direction, measure cerebral blood flow velocities and flow pulsatility in the above-mentioned arteries. These practice standards will assist laboratory accreditation processes by providing a standard scanning protocol with transducer positioning and orientation, depth selection and vessel identification for ultrasound devices equipped with spectral Doppler and power motion Doppler.","author":[{"dropping-particle":"V","family":"Alexandrov","given":"Andrei","non-dropping-particle":"","parse-names":false,"suffix":""},{"dropping-particle":"","family":"Sloan","given":"Michael A","non-dropping-particle":"","parse-names":false,"suffix":""},{"dropping-particle":"","family":"Wong","given":"Lawrence K S","non-dropping-particle":"","parse-names":false,"suffix":""},{"dropping-particle":"","family":"Douville","given":"Colleen","non-dropping-particle":"","parse-names":false,"suffix":""},{"dropping-particle":"","family":"Razumovsky","given":"Alexander Y","non-dropping-particle":"","parse-names":false,"suffix":""},{"dropping-particle":"","family":"Koroshetz","given":"Walter J","non-dropping-particle":"","parse-names":false,"suffix":""},{"dropping-particle":"","family":"Kaps","given":"Manfred","non-dropping-particle":"","parse-names":false,"suffix":""},{"dropping-particle":"","family":"Tegeler","given":"Charles H","non-dropping-particle":"","parse-names":false,"suffix":""}],"container-title":"Journal of neuroimaging : official journal of the American Society of Neuroimaging","id":"ITEM-2","issue":"1","issued":{"date-parts":[["2007","1"]]},"language":"eng","page":"11-18","publisher-place":"United States","title":"Practice standards for transcranial Doppler ultrasound: part I--test performance.","type":"article-journal","volume":"17"},"uris":["http://www.mendeley.com/documents/?uuid=fadf5f98-0cdb-43b9-ab26-9a26a3ed66a6"]},{"id":"ITEM-3","itemData":{"DOI":"10.1161/01.STR.0000150496.27584.e3","ISSN":"1524-4628 (Electronic)","PMID":"15569866","abstract":"BACKGROUND AND PURPOSE: We routinely perform an urgent bedside neurovascular ultrasound examination (NVUE) with carotid/vertebral duplex and transcranial Doppler (TCD) in patients with acute cerebral ischemia. We aimed to determine the yield and accuracy of NVUE to identify lesions amenable for interventional treatment (LAITs). METHODS: NVUE was performed with portable carotid duplex and TCD using standardized fast-track (&lt;15 minutes) insonation protocols. Digital subtraction angiography (DSA) was the gold standard for identifying LAIT. These lesions were defined as proximal intra- or extracranial occlusions, near-occlusions, &gt; or =50% stenoses or thrombus in the symptomatic artery. RESULTS: One hundred and fifty patients (70 women, mean age 66+/-15 years) underwent NVUE at median 128 minutes after symptom onset. Fifty-four patients (36%) received intravenous or intra-arterial thrombolysis (median National Institutes of Health Stroke Scale (NIHSS) score 14, range 4 to 29; 81% had NIHSS &gt; or =10 points). NVUE demonstrated LAITs in 98% of patients eligible for thrombolysis, 76% of acute stroke patients ineligible for thrombolysis (n=63), and 42% in patients with transient ischemic attack (n=33), P&lt;0.001. Urgent DSA was performed in 30 patients on average 230 minutes after NVUE. Compared with DSA, NVUE predicted LAIT presence with 100% sensitivity and 100% specificity, although individual accuracy parameters for TCD and carotid duplex specific to occlusion location ranged 75% to 96% because of the presence of tandem lesions and 10% rate of no temporal windows. CONCLUSIONS: Bedside neurovascular ultrasound examination, combining carotid/vertebral duplex with TCD yields a substantial proportion of LAITs in excellent agreement with urgent DSA.","author":[{"dropping-particle":"","family":"Chernyshev","given":"Oleg Y","non-dropping-particle":"","parse-names":false,"suffix":""},{"dropping-particle":"","family":"Garami","given":"Zsolt","non-dropping-particle":"","parse-names":false,"suffix":""},{"dropping-particle":"","family":"Calleja","given":"Sergio","non-dropping-particle":"","parse-names":false,"suffix":""},{"dropping-particle":"","family":"Song","given":"Joon","non-dropping-particle":"","parse-names":false,"suffix":""},{"dropping-particle":"","family":"Campbell","given":"Morgan S","non-dropping-particle":"","parse-names":false,"suffix":""},{"dropping-particle":"","family":"Noser","given":"Elizabeth A","non-dropping-particle":"","parse-names":false,"suffix":""},{"dropping-particle":"","family":"Shaltoni","given":"Hashem","non-dropping-particle":"","parse-names":false,"suffix":""},{"dropping-particle":"","family":"Chen","given":"Chin-I","non-dropping-particle":"","parse-names":false,"suffix":""},{"dropping-particle":"","family":"Iguchi","given":"Yasuyuki","non-dropping-particle":"","parse-names":false,"suffix":""},{"dropping-particle":"","family":"Grotta","given":"James C","non-dropping-particle":"","parse-names":false,"suffix":""},{"dropping-particle":"V","family":"Alexandrov","given":"Andrei","non-dropping-particle":"","parse-names":false,"suffix":""}],"container-title":"Stroke","id":"ITEM-3","issue":"1","issued":{"date-parts":[["2005","1"]]},"language":"eng","page":"32-37","publisher-place":"United States","title":"Yield and accuracy of urgent combined carotid/transcranial ultrasound testing in  acute cerebral ischemia.","type":"article-journal","volume":"36"},"uris":["http://www.mendeley.com/documents/?uuid=de3ee672-32b3-40d6-bb45-86d6597b1bcc"]},{"id":"ITEM-4","itemData":{"ISSN":"1051-2284 (Print)","PMID":"10666975","abstract":"The authors determined transcranial Doppler (TCD) accuracy for the proximal internal carotid artery (ICA), distal ICA, proximal middle cerebral artery (MCA), distal MCA, anterior cerebral artery (ACA), posterior cerebral artery (PCA), terminal vertebral artery (tVA), and basilar artery (BA) occlusion in cerebral ischemia patients. Detailed diagnostic criteria were prospectively applied for TCD interpretation independent of angiographic findings. Of 320 consecutive patients referred to the neurosonology service with symptoms of cerebral ischemia, 190 (59%) patients also underwent angiography (MRA or DSA). 48 of those 190 patients had angiographic occlusion and 12 of those 48 patients had involvement of multiple vessels. Median time from TCD until angiography was performed was 1 hour (41 patients had angiography before TCD). TCD showed 40 true positive, 8 false negative, 8 false positive, and 134 true negative studies with sensitivity 83.0%, specificity 94.4%, positive predictive value 83.0%, negative predictive value 94.4%, and accuracy 91.6% to determine all sites of occlusion. Sensitivity for each individual occlusion site was: proximal ICA 94%, distal ICA 81%, MCA 93% tVA 56%, BA 60%. Specificity ranged from 96% to 98%. TCD is sensitive and specific in determining the site of the arterial occlusion using detailed diagnostic criteria, including proximal ICA and distal MCA lesions. TCD has the highest accuracy for ICA and MCA occlusions. If the results of TCD are normal, there is at least a 94% chance that angiographic studies will be negative.","author":[{"dropping-particle":"","family":"Demchuk","given":"A M","non-dropping-particle":"","parse-names":false,"suffix":""},{"dropping-particle":"","family":"Christou","given":"I","non-dropping-particle":"","parse-names":false,"suffix":""},{"dropping-particle":"","family":"Wein","given":"T H","non-dropping-particle":"","parse-names":false,"suffix":""},{"dropping-particle":"","family":"Felberg","given":"R A","non-dropping-particle":"","parse-names":false,"suffix":""},{"dropping-particle":"","family":"Malkoff","given":"M","non-dropping-particle":"","parse-names":false,"suffix":""},{"dropping-particle":"","family":"Grotta","given":"J C","non-dropping-particle":"","parse-names":false,"suffix":""},{"dropping-particle":"V","family":"Alexandrov","given":"A","non-dropping-particle":"","parse-names":false,"suffix":""}],"container-title":"Journal of neuroimaging : official journal of the American Society of Neuroimaging","id":"ITEM-4","issue":"1","issued":{"date-parts":[["2000","1"]]},"language":"eng","page":"1-12","publisher-place":"United States","title":"Accuracy and criteria for localizing arterial occlusion with transcranial Doppler.","type":"article-journal","volume":"10"},"uris":["http://www.mendeley.com/documents/?uuid=dbab2dd5-88a5-4f66-9f2e-b28f742e0919"]}],"mendeley":{"formattedCitation":"(Demchuk &lt;i&gt;et al.&lt;/i&gt;, 2000; Alexandrov &lt;i&gt;et al.&lt;/i&gt;, 2004, 2007; Chernyshev &lt;i&gt;et al.&lt;/i&gt;, 2005)","manualFormatting":"Demchuk et al (2000), Alexandrov et al (2004, 2007), Chernyshev et al (2005)","plainTextFormattedCitation":"(Demchuk et al., 2000; Alexandrov et al., 2004, 2007; Chernyshev et al., 2005)","previouslyFormattedCitation":"[66,68–70]"},"properties":{"noteIndex":0},"schema":"https://github.com/citation-style-language/schema/raw/master/csl-citation.json"}</w:instrText>
            </w:r>
            <w:r w:rsidRPr="00B56A5D">
              <w:rPr>
                <w:rFonts w:ascii="Arial" w:eastAsia="Calibri" w:hAnsi="Arial" w:cs="Arial"/>
                <w:color w:val="000000"/>
                <w:sz w:val="16"/>
                <w:szCs w:val="16"/>
                <w:u w:color="000000"/>
                <w:bdr w:val="nil"/>
                <w:vertAlign w:val="superscript"/>
                <w:lang w:eastAsia="en-GB"/>
              </w:rPr>
              <w:fldChar w:fldCharType="separate"/>
            </w:r>
            <w:r w:rsidR="00F0398B" w:rsidRPr="00F0398B">
              <w:rPr>
                <w:rFonts w:ascii="Arial" w:eastAsia="Calibri" w:hAnsi="Arial" w:cs="Arial"/>
                <w:noProof/>
                <w:color w:val="000000"/>
                <w:sz w:val="16"/>
                <w:szCs w:val="16"/>
                <w:u w:color="000000"/>
                <w:lang w:eastAsia="en-GB"/>
              </w:rPr>
              <w:t xml:space="preserve">Demchuk et al </w:t>
            </w:r>
            <w:r w:rsidR="00F0398B">
              <w:rPr>
                <w:rFonts w:ascii="Arial" w:eastAsia="Calibri" w:hAnsi="Arial" w:cs="Arial"/>
                <w:noProof/>
                <w:color w:val="000000"/>
                <w:sz w:val="16"/>
                <w:szCs w:val="16"/>
                <w:u w:color="000000"/>
                <w:lang w:eastAsia="en-GB"/>
              </w:rPr>
              <w:t>(</w:t>
            </w:r>
            <w:r w:rsidR="00F0398B" w:rsidRPr="00F0398B">
              <w:rPr>
                <w:rFonts w:ascii="Arial" w:eastAsia="Calibri" w:hAnsi="Arial" w:cs="Arial"/>
                <w:noProof/>
                <w:color w:val="000000"/>
                <w:sz w:val="16"/>
                <w:szCs w:val="16"/>
                <w:u w:color="000000"/>
                <w:lang w:eastAsia="en-GB"/>
              </w:rPr>
              <w:t>2000</w:t>
            </w:r>
            <w:r w:rsidR="00F0398B">
              <w:rPr>
                <w:rFonts w:ascii="Arial" w:eastAsia="Calibri" w:hAnsi="Arial" w:cs="Arial"/>
                <w:noProof/>
                <w:color w:val="000000"/>
                <w:sz w:val="16"/>
                <w:szCs w:val="16"/>
                <w:u w:color="000000"/>
                <w:lang w:eastAsia="en-GB"/>
              </w:rPr>
              <w:t xml:space="preserve">), </w:t>
            </w:r>
            <w:r w:rsidR="00F0398B" w:rsidRPr="00F0398B">
              <w:rPr>
                <w:rFonts w:ascii="Arial" w:eastAsia="Calibri" w:hAnsi="Arial" w:cs="Arial"/>
                <w:noProof/>
                <w:color w:val="000000"/>
                <w:sz w:val="16"/>
                <w:szCs w:val="16"/>
                <w:u w:color="000000"/>
                <w:lang w:eastAsia="en-GB"/>
              </w:rPr>
              <w:t>Alexandrov et a</w:t>
            </w:r>
            <w:r w:rsidR="00F0398B">
              <w:rPr>
                <w:rFonts w:ascii="Arial" w:eastAsia="Calibri" w:hAnsi="Arial" w:cs="Arial"/>
                <w:noProof/>
                <w:color w:val="000000"/>
                <w:sz w:val="16"/>
                <w:szCs w:val="16"/>
                <w:u w:color="000000"/>
                <w:lang w:eastAsia="en-GB"/>
              </w:rPr>
              <w:t>l (</w:t>
            </w:r>
            <w:r w:rsidR="00F0398B" w:rsidRPr="00F0398B">
              <w:rPr>
                <w:rFonts w:ascii="Arial" w:eastAsia="Calibri" w:hAnsi="Arial" w:cs="Arial"/>
                <w:noProof/>
                <w:color w:val="000000"/>
                <w:sz w:val="16"/>
                <w:szCs w:val="16"/>
                <w:u w:color="000000"/>
                <w:lang w:eastAsia="en-GB"/>
              </w:rPr>
              <w:t>2004, 2007</w:t>
            </w:r>
            <w:r w:rsidR="00F0398B">
              <w:rPr>
                <w:rFonts w:ascii="Arial" w:eastAsia="Calibri" w:hAnsi="Arial" w:cs="Arial"/>
                <w:noProof/>
                <w:color w:val="000000"/>
                <w:sz w:val="16"/>
                <w:szCs w:val="16"/>
                <w:u w:color="000000"/>
                <w:lang w:eastAsia="en-GB"/>
              </w:rPr>
              <w:t xml:space="preserve">), </w:t>
            </w:r>
            <w:r w:rsidR="00F0398B" w:rsidRPr="00F0398B">
              <w:rPr>
                <w:rFonts w:ascii="Arial" w:eastAsia="Calibri" w:hAnsi="Arial" w:cs="Arial"/>
                <w:noProof/>
                <w:color w:val="000000"/>
                <w:sz w:val="16"/>
                <w:szCs w:val="16"/>
                <w:u w:color="000000"/>
                <w:lang w:eastAsia="en-GB"/>
              </w:rPr>
              <w:t>Chernyshev et al</w:t>
            </w:r>
            <w:r w:rsidR="00F0398B">
              <w:rPr>
                <w:rFonts w:ascii="Arial" w:eastAsia="Calibri" w:hAnsi="Arial" w:cs="Arial"/>
                <w:noProof/>
                <w:color w:val="000000"/>
                <w:sz w:val="16"/>
                <w:szCs w:val="16"/>
                <w:u w:color="000000"/>
                <w:lang w:eastAsia="en-GB"/>
              </w:rPr>
              <w:t xml:space="preserve"> (</w:t>
            </w:r>
            <w:r w:rsidR="00F0398B" w:rsidRPr="00F0398B">
              <w:rPr>
                <w:rFonts w:ascii="Arial" w:eastAsia="Calibri" w:hAnsi="Arial" w:cs="Arial"/>
                <w:noProof/>
                <w:color w:val="000000"/>
                <w:sz w:val="16"/>
                <w:szCs w:val="16"/>
                <w:u w:color="000000"/>
                <w:lang w:eastAsia="en-GB"/>
              </w:rPr>
              <w:t>2005)</w:t>
            </w:r>
            <w:r w:rsidRPr="00B56A5D">
              <w:rPr>
                <w:rFonts w:ascii="Arial" w:eastAsia="Calibri" w:hAnsi="Arial" w:cs="Arial"/>
                <w:color w:val="000000"/>
                <w:sz w:val="16"/>
                <w:szCs w:val="16"/>
                <w:u w:color="000000"/>
                <w:bdr w:val="nil"/>
                <w:vertAlign w:val="superscript"/>
                <w:lang w:eastAsia="en-GB"/>
              </w:rPr>
              <w:fldChar w:fldCharType="end"/>
            </w:r>
          </w:p>
        </w:tc>
      </w:tr>
      <w:tr w:rsidR="00596454" w:rsidRPr="00B56A5D" w:rsidTr="0008405F">
        <w:trPr>
          <w:trHeight w:val="4012"/>
        </w:trPr>
        <w:tc>
          <w:tcPr>
            <w:tcW w:w="1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proofErr w:type="spellStart"/>
            <w:r w:rsidRPr="00B56A5D">
              <w:rPr>
                <w:rFonts w:ascii="Arial" w:eastAsia="Calibri" w:hAnsi="Arial" w:cs="Arial"/>
                <w:color w:val="000000"/>
                <w:sz w:val="16"/>
                <w:szCs w:val="16"/>
                <w:u w:color="000000"/>
                <w:bdr w:val="nil"/>
                <w:lang w:eastAsia="en-GB"/>
              </w:rPr>
              <w:t>Tsivgoulis</w:t>
            </w:r>
            <w:proofErr w:type="spellEnd"/>
            <w:r w:rsidRPr="00B56A5D">
              <w:rPr>
                <w:rFonts w:ascii="Arial" w:eastAsia="Calibri" w:hAnsi="Arial" w:cs="Arial"/>
                <w:color w:val="000000"/>
                <w:sz w:val="16"/>
                <w:szCs w:val="16"/>
                <w:u w:color="000000"/>
                <w:bdr w:val="nil"/>
                <w:lang w:eastAsia="en-GB"/>
              </w:rPr>
              <w:t xml:space="preserve"> 2008</w:t>
            </w:r>
          </w:p>
        </w:tc>
        <w:tc>
          <w:tcPr>
            <w:tcW w:w="32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 xml:space="preserve">MFV in the </w:t>
            </w:r>
            <w:proofErr w:type="spellStart"/>
            <w:r w:rsidRPr="00B56A5D">
              <w:rPr>
                <w:rFonts w:ascii="Arial" w:eastAsia="Calibri" w:hAnsi="Arial" w:cs="Arial"/>
                <w:color w:val="000000"/>
                <w:sz w:val="16"/>
                <w:szCs w:val="16"/>
                <w:u w:color="000000"/>
                <w:bdr w:val="nil"/>
                <w:lang w:eastAsia="en-GB"/>
              </w:rPr>
              <w:t>PCom</w:t>
            </w:r>
            <w:proofErr w:type="spellEnd"/>
            <w:r w:rsidRPr="00B56A5D">
              <w:rPr>
                <w:rFonts w:ascii="Arial" w:eastAsia="Calibri" w:hAnsi="Arial" w:cs="Arial"/>
                <w:color w:val="000000"/>
                <w:sz w:val="16"/>
                <w:szCs w:val="16"/>
                <w:u w:color="000000"/>
                <w:bdr w:val="nil"/>
                <w:lang w:eastAsia="en-GB"/>
              </w:rPr>
              <w:t xml:space="preserve"> was expected be equal or greater than the highest MFV velocity documented in the middle cerebral</w:t>
            </w:r>
          </w:p>
          <w:p w:rsidR="00596454" w:rsidRPr="00B56A5D" w:rsidRDefault="00F0398B"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Pr>
                <w:rFonts w:ascii="Arial" w:eastAsia="Calibri" w:hAnsi="Arial" w:cs="Arial"/>
                <w:color w:val="000000"/>
                <w:sz w:val="16"/>
                <w:szCs w:val="16"/>
                <w:u w:color="000000"/>
                <w:bdr w:val="nil"/>
                <w:lang w:eastAsia="en-GB"/>
              </w:rPr>
              <w:t>a</w:t>
            </w:r>
            <w:r w:rsidR="00596454" w:rsidRPr="00B56A5D">
              <w:rPr>
                <w:rFonts w:ascii="Arial" w:eastAsia="Calibri" w:hAnsi="Arial" w:cs="Arial"/>
                <w:color w:val="000000"/>
                <w:sz w:val="16"/>
                <w:szCs w:val="16"/>
                <w:u w:color="000000"/>
                <w:bdr w:val="nil"/>
                <w:lang w:eastAsia="en-GB"/>
              </w:rPr>
              <w:t>rtery</w:t>
            </w:r>
            <w:r>
              <w:rPr>
                <w:rFonts w:ascii="Arial" w:eastAsia="Calibri" w:hAnsi="Arial" w:cs="Arial"/>
                <w:color w:val="000000"/>
                <w:sz w:val="16"/>
                <w:szCs w:val="16"/>
                <w:u w:color="000000"/>
                <w:bdr w:val="nil"/>
                <w:lang w:eastAsia="en-GB"/>
              </w:rPr>
              <w:t xml:space="preserve"> </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309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 xml:space="preserve">Absence of flow (TIBI 0) or the presence of minimal (TIBI I), blunted (TIBI II), or dampened (TIBI III) flow signals. In case of proximal BA occlusion with distal flow reversal through </w:t>
            </w:r>
            <w:proofErr w:type="spellStart"/>
            <w:r w:rsidRPr="00B56A5D">
              <w:rPr>
                <w:rFonts w:ascii="Arial" w:eastAsia="Calibri" w:hAnsi="Arial" w:cs="Arial"/>
                <w:color w:val="000000"/>
                <w:sz w:val="16"/>
                <w:szCs w:val="16"/>
                <w:u w:color="000000"/>
                <w:bdr w:val="nil"/>
                <w:lang w:eastAsia="en-GB"/>
              </w:rPr>
              <w:t>PCom</w:t>
            </w:r>
            <w:proofErr w:type="spellEnd"/>
            <w:r w:rsidRPr="00B56A5D">
              <w:rPr>
                <w:rFonts w:ascii="Arial" w:eastAsia="Calibri" w:hAnsi="Arial" w:cs="Arial"/>
                <w:color w:val="000000"/>
                <w:sz w:val="16"/>
                <w:szCs w:val="16"/>
                <w:u w:color="000000"/>
                <w:bdr w:val="nil"/>
                <w:lang w:eastAsia="en-GB"/>
              </w:rPr>
              <w:t xml:space="preserve"> collateralization, the MFV in the </w:t>
            </w:r>
            <w:proofErr w:type="spellStart"/>
            <w:r w:rsidRPr="00B56A5D">
              <w:rPr>
                <w:rFonts w:ascii="Arial" w:eastAsia="Calibri" w:hAnsi="Arial" w:cs="Arial"/>
                <w:color w:val="000000"/>
                <w:sz w:val="16"/>
                <w:szCs w:val="16"/>
                <w:u w:color="000000"/>
                <w:bdr w:val="nil"/>
                <w:lang w:eastAsia="en-GB"/>
              </w:rPr>
              <w:t>PCom</w:t>
            </w:r>
            <w:proofErr w:type="spellEnd"/>
            <w:r w:rsidRPr="00B56A5D">
              <w:rPr>
                <w:rFonts w:ascii="Arial" w:eastAsia="Calibri" w:hAnsi="Arial" w:cs="Arial"/>
                <w:color w:val="000000"/>
                <w:sz w:val="16"/>
                <w:szCs w:val="16"/>
                <w:u w:color="000000"/>
                <w:bdr w:val="nil"/>
                <w:lang w:eastAsia="en-GB"/>
              </w:rPr>
              <w:t xml:space="preserve"> was expected to be equal or greater than the highest MFV velocity documented in the BA. Compensatory flow increase in the contralateral VA or cerebellar collaterals (arterial flow directed toward the probe with higher MFV than in VA at depths of 55 to 70 mm for the posterior inferior cerebellar artery, 75 to 85 mm for the anterior inferior cerebellar artery, and 90 mm for superior-cerebellar artery in the absence of </w:t>
            </w:r>
            <w:proofErr w:type="spellStart"/>
            <w:r w:rsidRPr="00B56A5D">
              <w:rPr>
                <w:rFonts w:ascii="Arial" w:eastAsia="Calibri" w:hAnsi="Arial" w:cs="Arial"/>
                <w:color w:val="000000"/>
                <w:sz w:val="16"/>
                <w:szCs w:val="16"/>
                <w:u w:color="000000"/>
                <w:bdr w:val="nil"/>
                <w:lang w:eastAsia="en-GB"/>
              </w:rPr>
              <w:t>PCom</w:t>
            </w:r>
            <w:proofErr w:type="spellEnd"/>
            <w:r w:rsidRPr="00B56A5D">
              <w:rPr>
                <w:rFonts w:ascii="Arial" w:eastAsia="Calibri" w:hAnsi="Arial" w:cs="Arial"/>
                <w:color w:val="000000"/>
                <w:sz w:val="16"/>
                <w:szCs w:val="16"/>
                <w:u w:color="000000"/>
                <w:bdr w:val="nil"/>
                <w:lang w:eastAsia="en-GB"/>
              </w:rPr>
              <w:t xml:space="preserve"> flow or suspicion of</w:t>
            </w:r>
          </w:p>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the reversed BA flow signature) in case of terminal vertebral artery or BA occlusions</w:t>
            </w:r>
            <w:r w:rsidR="00F0398B">
              <w:rPr>
                <w:rFonts w:ascii="Arial" w:eastAsia="Calibri" w:hAnsi="Arial" w:cs="Arial"/>
                <w:color w:val="000000"/>
                <w:sz w:val="16"/>
                <w:szCs w:val="16"/>
                <w:u w:color="000000"/>
                <w:bdr w:val="nil"/>
                <w:lang w:eastAsia="en-GB"/>
              </w:rPr>
              <w:t xml:space="preserve"> </w:t>
            </w:r>
          </w:p>
        </w:tc>
      </w:tr>
      <w:tr w:rsidR="00596454" w:rsidRPr="00B56A5D" w:rsidTr="0008405F">
        <w:trPr>
          <w:trHeight w:val="204"/>
        </w:trPr>
        <w:tc>
          <w:tcPr>
            <w:tcW w:w="1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Viola 1993</w:t>
            </w:r>
          </w:p>
        </w:tc>
        <w:tc>
          <w:tcPr>
            <w:tcW w:w="765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Comparison was made with healthy controls</w:t>
            </w:r>
          </w:p>
        </w:tc>
      </w:tr>
      <w:tr w:rsidR="00596454" w:rsidRPr="00B56A5D" w:rsidTr="0008405F">
        <w:trPr>
          <w:trHeight w:val="4446"/>
        </w:trPr>
        <w:tc>
          <w:tcPr>
            <w:tcW w:w="1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lastRenderedPageBreak/>
              <w:t>Wada 2002</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M1 occlusion (horizontal portion): no signal on the contralateral side of hemiparesis and MCA flow can be observed on the ipsilateral side of hemiparesis.</w:t>
            </w:r>
          </w:p>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M1 occlusion of lower side: ED-ratio of M1 &gt; 1.9 (side-to-side ratio of the end-diastolic flow velocity in M1 segment, which was calculated by dividing the velocity on the side of higher flow velocity by that on the contralateral side)</w:t>
            </w:r>
            <w:r w:rsidR="00F0398B">
              <w:rPr>
                <w:rFonts w:ascii="Arial" w:eastAsia="Calibri" w:hAnsi="Arial" w:cs="Arial"/>
                <w:color w:val="000000"/>
                <w:sz w:val="16"/>
                <w:szCs w:val="16"/>
                <w:u w:color="000000"/>
                <w:bdr w:val="nil"/>
                <w:lang w:eastAsia="en-GB"/>
              </w:rPr>
              <w:t xml:space="preserve">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PCA (P2 segment) occlusion: no signal in P2</w:t>
            </w:r>
            <w:r w:rsidR="00F0398B">
              <w:rPr>
                <w:rFonts w:ascii="Arial" w:eastAsia="Calibri" w:hAnsi="Arial" w:cs="Arial"/>
                <w:color w:val="000000"/>
                <w:sz w:val="16"/>
                <w:szCs w:val="16"/>
                <w:u w:color="000000"/>
                <w:bdr w:val="nil"/>
                <w:lang w:eastAsia="en-GB"/>
              </w:rPr>
              <w:t xml:space="preserve"> </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r>
      <w:tr w:rsidR="00596454" w:rsidRPr="00B56A5D" w:rsidTr="0008405F">
        <w:trPr>
          <w:trHeight w:val="204"/>
        </w:trPr>
        <w:tc>
          <w:tcPr>
            <w:tcW w:w="1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F0398B">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proofErr w:type="spellStart"/>
            <w:r w:rsidRPr="00B56A5D">
              <w:rPr>
                <w:rFonts w:ascii="Arial" w:eastAsia="Calibri" w:hAnsi="Arial" w:cs="Arial"/>
                <w:color w:val="000000"/>
                <w:sz w:val="16"/>
                <w:szCs w:val="16"/>
                <w:u w:color="000000"/>
                <w:bdr w:val="nil"/>
                <w:lang w:eastAsia="en-GB"/>
              </w:rPr>
              <w:t>Zubkov</w:t>
            </w:r>
            <w:proofErr w:type="spellEnd"/>
            <w:r w:rsidRPr="00B56A5D">
              <w:rPr>
                <w:rFonts w:ascii="Arial" w:eastAsia="Calibri" w:hAnsi="Arial" w:cs="Arial"/>
                <w:color w:val="000000"/>
                <w:sz w:val="16"/>
                <w:szCs w:val="16"/>
                <w:u w:color="000000"/>
                <w:bdr w:val="nil"/>
                <w:lang w:eastAsia="en-GB"/>
              </w:rPr>
              <w:t xml:space="preserve"> 2008</w:t>
            </w:r>
          </w:p>
        </w:tc>
        <w:tc>
          <w:tcPr>
            <w:tcW w:w="765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96454" w:rsidRPr="00B56A5D" w:rsidRDefault="00596454" w:rsidP="0008405F">
            <w:pPr>
              <w:pBdr>
                <w:top w:val="nil"/>
                <w:left w:val="nil"/>
                <w:bottom w:val="nil"/>
                <w:right w:val="nil"/>
                <w:between w:val="nil"/>
                <w:bar w:val="nil"/>
              </w:pBdr>
              <w:spacing w:after="0" w:line="240" w:lineRule="auto"/>
              <w:rPr>
                <w:rFonts w:ascii="Arial" w:eastAsia="Calibri" w:hAnsi="Arial" w:cs="Arial"/>
                <w:color w:val="000000"/>
                <w:sz w:val="16"/>
                <w:szCs w:val="16"/>
                <w:u w:color="000000"/>
                <w:bdr w:val="nil"/>
                <w:lang w:eastAsia="en-GB"/>
              </w:rPr>
            </w:pPr>
            <w:r w:rsidRPr="00B56A5D">
              <w:rPr>
                <w:rFonts w:ascii="Arial" w:eastAsia="Calibri" w:hAnsi="Arial" w:cs="Arial"/>
                <w:color w:val="000000"/>
                <w:sz w:val="16"/>
                <w:szCs w:val="16"/>
                <w:u w:color="000000"/>
                <w:bdr w:val="nil"/>
                <w:lang w:eastAsia="en-GB"/>
              </w:rPr>
              <w:t>Not specified</w:t>
            </w:r>
          </w:p>
        </w:tc>
      </w:tr>
    </w:tbl>
    <w:p w:rsidR="00B56A5D" w:rsidRDefault="00B56A5D">
      <w:pPr>
        <w:rPr>
          <w:rFonts w:ascii="Arial" w:hAnsi="Arial" w:cs="Arial"/>
        </w:rPr>
      </w:pPr>
    </w:p>
    <w:p w:rsidR="006B571F" w:rsidRDefault="006B571F" w:rsidP="006B571F">
      <w:pPr>
        <w:rPr>
          <w:rFonts w:ascii="Arial" w:eastAsia="Calibri" w:hAnsi="Arial" w:cs="Arial"/>
          <w:color w:val="000000"/>
          <w:sz w:val="20"/>
          <w:szCs w:val="20"/>
          <w:u w:color="000000"/>
          <w:lang w:eastAsia="en-GB"/>
        </w:rPr>
      </w:pPr>
      <w:r w:rsidRPr="00BE570E">
        <w:rPr>
          <w:rFonts w:ascii="Arial" w:eastAsia="Calibri" w:hAnsi="Arial" w:cs="Arial"/>
          <w:iCs/>
          <w:color w:val="000000"/>
          <w:sz w:val="20"/>
          <w:szCs w:val="20"/>
          <w:u w:color="000000"/>
          <w:lang w:eastAsia="en-GB"/>
        </w:rPr>
        <w:t>Abbreviations:</w:t>
      </w:r>
      <w:r w:rsidRPr="00BE570E">
        <w:rPr>
          <w:rFonts w:ascii="Arial" w:eastAsia="Calibri" w:hAnsi="Arial" w:cs="Arial"/>
          <w:color w:val="000000"/>
          <w:sz w:val="20"/>
          <w:szCs w:val="20"/>
          <w:u w:color="000000"/>
          <w:lang w:eastAsia="en-GB"/>
        </w:rPr>
        <w:t xml:space="preserve"> ACA – anterior cerebral artery; AI – asymmetry index; BA – basilar artery; ICA – internal carotid artery; MCA – middle cerebral artery; MFV – mean flow velocity; PCA – posterior cerebral artery; </w:t>
      </w:r>
      <w:proofErr w:type="spellStart"/>
      <w:r w:rsidRPr="00BE570E">
        <w:rPr>
          <w:rFonts w:ascii="Arial" w:eastAsia="Calibri" w:hAnsi="Arial" w:cs="Arial"/>
          <w:color w:val="000000"/>
          <w:sz w:val="20"/>
          <w:szCs w:val="20"/>
          <w:u w:color="000000"/>
          <w:lang w:eastAsia="en-GB"/>
        </w:rPr>
        <w:t>PCom</w:t>
      </w:r>
      <w:proofErr w:type="spellEnd"/>
      <w:r w:rsidRPr="00BE570E">
        <w:rPr>
          <w:rFonts w:ascii="Arial" w:eastAsia="Calibri" w:hAnsi="Arial" w:cs="Arial"/>
          <w:color w:val="000000"/>
          <w:sz w:val="20"/>
          <w:szCs w:val="20"/>
          <w:u w:color="000000"/>
          <w:lang w:eastAsia="en-GB"/>
        </w:rPr>
        <w:t xml:space="preserve"> – posterior communicating artery; PSFV – peak systolic flow velocity; VA – vertebral artery. </w:t>
      </w:r>
    </w:p>
    <w:sectPr w:rsidR="006B57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F1F"/>
    <w:rsid w:val="002343E8"/>
    <w:rsid w:val="005574CF"/>
    <w:rsid w:val="00564F1F"/>
    <w:rsid w:val="00596454"/>
    <w:rsid w:val="006B571F"/>
    <w:rsid w:val="006E58DB"/>
    <w:rsid w:val="00B56A5D"/>
    <w:rsid w:val="00F039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1F8997-2CC9-49A0-A269-956A83A28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3164631F-E335-4018-979A-C3EEF4422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6975</Words>
  <Characters>39760</Characters>
  <Application>Microsoft Office Word</Application>
  <DocSecurity>0</DocSecurity>
  <Lines>331</Lines>
  <Paragraphs>93</Paragraphs>
  <ScaleCrop>false</ScaleCrop>
  <Company>University of Aberdeen</Company>
  <LinksUpToDate>false</LinksUpToDate>
  <CharactersWithSpaces>46642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Antipova, Daria</dc:creator>
  <cp:keywords/>
  <dc:description/>
  <cp:lastModifiedBy>Antipova, Daria</cp:lastModifiedBy>
  <cp:revision>6</cp:revision>
  <dcterms:created xsi:type="dcterms:W3CDTF">2019-05-02T11:55:00Z</dcterms:created>
  <dcterms:modified xsi:type="dcterms:W3CDTF">2019-09-03T09:49:00Z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http://www.zotero.org/styles/harvard1</vt:lpwstr>
  </property>
  <property fmtid="{D5CDD505-2E9C-101B-9397-08002B2CF9AE}" pid="3" name="Mendeley Recent Style Name 0_1">
    <vt:lpwstr>Harvard reference format 1 (deprecated)</vt:lpwstr>
  </property>
  <property fmtid="{D5CDD505-2E9C-101B-9397-08002B2CF9AE}" pid="4" name="Mendeley Recent Style Id 1_1">
    <vt:lpwstr>http://csl.mendeley.com/styles/517355201/vancouverLancet-2</vt:lpwstr>
  </property>
  <property fmtid="{D5CDD505-2E9C-101B-9397-08002B2CF9AE}" pid="5" name="Mendeley Recent Style Name 1_1">
    <vt:lpwstr>Vancouver</vt:lpwstr>
  </property>
  <property fmtid="{D5CDD505-2E9C-101B-9397-08002B2CF9AE}" pid="6" name="Mendeley Recent Style Id 2_1">
    <vt:lpwstr>http://www.zotero.org/styles/vancouver</vt:lpwstr>
  </property>
  <property fmtid="{D5CDD505-2E9C-101B-9397-08002B2CF9AE}" pid="7" name="Mendeley Recent Style Name 2_1">
    <vt:lpwstr>Vancouver</vt:lpwstr>
  </property>
  <property fmtid="{D5CDD505-2E9C-101B-9397-08002B2CF9AE}" pid="8" name="Mendeley Recent Style Id 3_1">
    <vt:lpwstr>http://csl.mendeley.com/styles/517355201/vancouverLancet-3</vt:lpwstr>
  </property>
  <property fmtid="{D5CDD505-2E9C-101B-9397-08002B2CF9AE}" pid="9" name="Mendeley Recent Style Name 3_1">
    <vt:lpwstr>Vancouver</vt:lpwstr>
  </property>
  <property fmtid="{D5CDD505-2E9C-101B-9397-08002B2CF9AE}" pid="10" name="Mendeley Recent Style Id 4_1">
    <vt:lpwstr>http://csl.mendeley.com/styles/517355201/vancouverLancet</vt:lpwstr>
  </property>
  <property fmtid="{D5CDD505-2E9C-101B-9397-08002B2CF9AE}" pid="11" name="Mendeley Recent Style Name 4_1">
    <vt:lpwstr>Vancouver</vt:lpwstr>
  </property>
  <property fmtid="{D5CDD505-2E9C-101B-9397-08002B2CF9AE}" pid="12" name="Mendeley Recent Style Id 5_1">
    <vt:lpwstr>http://csl.mendeley.com/styles/517355201/vancouver-square-3</vt:lpwstr>
  </property>
  <property fmtid="{D5CDD505-2E9C-101B-9397-08002B2CF9AE}" pid="13" name="Mendeley Recent Style Name 5_1">
    <vt:lpwstr>Vancouver - Daria Antipova</vt:lpwstr>
  </property>
  <property fmtid="{D5CDD505-2E9C-101B-9397-08002B2CF9AE}" pid="14" name="Mendeley Recent Style Id 6_1">
    <vt:lpwstr>http://csl.mendeley.com/styles/517355201/vancouver-square-5</vt:lpwstr>
  </property>
  <property fmtid="{D5CDD505-2E9C-101B-9397-08002B2CF9AE}" pid="15" name="Mendeley Recent Style Name 6_1">
    <vt:lpwstr>Vancouver - Daria Antipova</vt:lpwstr>
  </property>
  <property fmtid="{D5CDD505-2E9C-101B-9397-08002B2CF9AE}" pid="16" name="Mendeley Recent Style Id 7_1">
    <vt:lpwstr>http://csl.mendeley.com/styles/517355201/vancouver-square-6</vt:lpwstr>
  </property>
  <property fmtid="{D5CDD505-2E9C-101B-9397-08002B2CF9AE}" pid="17" name="Mendeley Recent Style Name 7_1">
    <vt:lpwstr>Vancouver - Daria Antipova</vt:lpwstr>
  </property>
  <property fmtid="{D5CDD505-2E9C-101B-9397-08002B2CF9AE}" pid="18" name="Mendeley Recent Style Id 8_1">
    <vt:lpwstr>http://csl.mendeley.com/styles/517355201/vancouver-square-4</vt:lpwstr>
  </property>
  <property fmtid="{D5CDD505-2E9C-101B-9397-08002B2CF9AE}" pid="19" name="Mendeley Recent Style Name 8_1">
    <vt:lpwstr>Vancouver - Daria Antipova</vt:lpwstr>
  </property>
  <property fmtid="{D5CDD505-2E9C-101B-9397-08002B2CF9AE}" pid="20" name="Mendeley Recent Style Id 9_1">
    <vt:lpwstr>http://csl.mendeley.com/styles/517251541/vancouver-square-2</vt:lpwstr>
  </property>
  <property fmtid="{D5CDD505-2E9C-101B-9397-08002B2CF9AE}" pid="21" name="Mendeley Recent Style Name 9_1">
    <vt:lpwstr>Vancouver - Daria Antipova</vt:lpwstr>
  </property>
  <property fmtid="{D5CDD505-2E9C-101B-9397-08002B2CF9AE}" pid="22" name="Mendeley Citation Style_1">
    <vt:lpwstr>http://www.zotero.org/styles/harvard1</vt:lpwstr>
  </property>
  <property fmtid="{D5CDD505-2E9C-101B-9397-08002B2CF9AE}" pid="23" name="Mendeley Document_1">
    <vt:lpwstr>True</vt:lpwstr>
  </property>
  <property fmtid="{D5CDD505-2E9C-101B-9397-08002B2CF9AE}" pid="24" name="Mendeley Unique User Id_1">
    <vt:lpwstr>4af8d3f5-326d-3ade-8271-c9cea8bb27de</vt:lpwstr>
  </property>
</Properties>
</file>