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A47" w:rsidRPr="00D44F8C" w:rsidRDefault="0051500F" w:rsidP="00FF0A47">
      <w:pPr>
        <w:pStyle w:val="Normal0"/>
        <w:spacing w:line="360" w:lineRule="auto"/>
        <w:rPr>
          <w:rFonts w:cs="Arial"/>
          <w:b/>
          <w:sz w:val="32"/>
          <w:szCs w:val="22"/>
        </w:rPr>
      </w:pPr>
      <w:r>
        <w:rPr>
          <w:rStyle w:val="Nenhum"/>
          <w:b/>
          <w:sz w:val="22"/>
          <w:szCs w:val="22"/>
        </w:rPr>
        <w:t>Additional file</w:t>
      </w:r>
      <w:r w:rsidR="00FF0A47" w:rsidRPr="008F3550">
        <w:rPr>
          <w:rStyle w:val="Nenhum"/>
          <w:b/>
          <w:sz w:val="22"/>
          <w:szCs w:val="22"/>
        </w:rPr>
        <w:t xml:space="preserve"> </w:t>
      </w:r>
      <w:proofErr w:type="spellStart"/>
      <w:r w:rsidR="00FF0A47" w:rsidRPr="008F3550">
        <w:rPr>
          <w:rStyle w:val="Nenhum"/>
          <w:b/>
          <w:sz w:val="22"/>
          <w:szCs w:val="22"/>
        </w:rPr>
        <w:t>S</w:t>
      </w:r>
      <w:r w:rsidR="00FF0A47">
        <w:rPr>
          <w:rStyle w:val="Nenhum"/>
          <w:b/>
          <w:sz w:val="22"/>
          <w:szCs w:val="22"/>
        </w:rPr>
        <w:t>2</w:t>
      </w:r>
      <w:proofErr w:type="spellEnd"/>
      <w:r w:rsidR="00FF0A47" w:rsidRPr="008F3550">
        <w:rPr>
          <w:rStyle w:val="Nenhum"/>
          <w:b/>
          <w:sz w:val="22"/>
          <w:szCs w:val="22"/>
        </w:rPr>
        <w:t>:</w:t>
      </w:r>
      <w:r w:rsidR="00FF0A47">
        <w:rPr>
          <w:rStyle w:val="Nenhum"/>
          <w:b/>
          <w:sz w:val="22"/>
          <w:szCs w:val="22"/>
        </w:rPr>
        <w:t xml:space="preserve"> </w:t>
      </w:r>
      <w:r w:rsidR="00FF0A47" w:rsidRPr="00D44F8C">
        <w:rPr>
          <w:b/>
          <w:bCs/>
          <w:sz w:val="22"/>
        </w:rPr>
        <w:t>Clinical, biochemical and CAN parameters in patients with congenital generalized lipodystrophy and healthy individuals</w:t>
      </w:r>
      <w:r w:rsidR="00FF0A47">
        <w:rPr>
          <w:b/>
          <w:bCs/>
          <w:sz w:val="22"/>
        </w:rPr>
        <w:t xml:space="preserve"> (n=30)</w:t>
      </w:r>
      <w:bookmarkStart w:id="0" w:name="_GoBack"/>
      <w:bookmarkEnd w:id="0"/>
    </w:p>
    <w:p w:rsidR="00FF0A47" w:rsidRPr="00D7087D" w:rsidRDefault="00FF0A47" w:rsidP="00FF0A47">
      <w:pPr>
        <w:pStyle w:val="Corpo"/>
        <w:spacing w:after="0"/>
        <w:jc w:val="both"/>
        <w:rPr>
          <w:rStyle w:val="Nenhum"/>
          <w:rFonts w:ascii="Arial" w:hAnsi="Arial" w:cs="Arial"/>
          <w:b/>
          <w:bCs/>
          <w:sz w:val="20"/>
          <w:szCs w:val="20"/>
          <w:lang w:val="en-US"/>
        </w:rPr>
      </w:pPr>
    </w:p>
    <w:tbl>
      <w:tblPr>
        <w:tblpPr w:leftFromText="141" w:rightFromText="141" w:vertAnchor="page" w:horzAnchor="page" w:tblpX="1450" w:tblpY="2885"/>
        <w:tblW w:w="9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65"/>
        <w:gridCol w:w="2284"/>
        <w:gridCol w:w="2209"/>
        <w:gridCol w:w="928"/>
      </w:tblGrid>
      <w:tr w:rsidR="00FF0A47" w:rsidRPr="007850B9" w:rsidTr="00426047">
        <w:trPr>
          <w:trHeight w:val="28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>CGL</w:t>
            </w:r>
            <w:proofErr w:type="spellEnd"/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>(n=10)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Healthy group</w:t>
            </w:r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>(n=20)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</w:tr>
      <w:tr w:rsidR="00FF0A47" w:rsidRPr="007850B9" w:rsidTr="00426047">
        <w:trPr>
          <w:trHeight w:val="140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>Female, % (n)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ind w:left="17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60 (6)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60 (12)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Age (years) 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12 (7; 30)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12 (7; 31)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0.642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>pBMI</w:t>
            </w:r>
            <w:proofErr w:type="spellEnd"/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(%) children and adolescents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62 (41; 94) n=8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52 (10; 82) n=16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0.100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>BMI (Kg/</w:t>
            </w:r>
            <w:proofErr w:type="spellStart"/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>m²</w:t>
            </w:r>
            <w:proofErr w:type="spellEnd"/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>) adults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22.3 (22.0; 22.7) n=2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23.7 (22.5; 24.8) n=4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0.165</w:t>
            </w:r>
          </w:p>
        </w:tc>
      </w:tr>
      <w:tr w:rsidR="00FF0A47" w:rsidRPr="007850B9" w:rsidTr="00426047">
        <w:trPr>
          <w:trHeight w:val="41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>Age group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Pre-pubertal: 10 (1)</w:t>
            </w:r>
          </w:p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Pubertal: 70 (7)</w:t>
            </w:r>
          </w:p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Adult: 20 (2)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Pre-pubertal: 20 (4)</w:t>
            </w:r>
          </w:p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Pubertal: 60 (12)</w:t>
            </w:r>
          </w:p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Adult: 20 (4)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0.508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Basal HR (</w:t>
            </w:r>
            <w:proofErr w:type="spellStart"/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bpm</w:t>
            </w:r>
            <w:proofErr w:type="spellEnd"/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90 (72; 109)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71 (53; 94)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>0.006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Systolic BP (mmHg)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123 (90; 175)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104 (80; 113)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>0.001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Diastolic BP (mmHg)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78 (50; 109)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pt-PT"/>
              </w:rPr>
              <w:t>66 (60; 80)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0.006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</w:rPr>
              <w:t xml:space="preserve">Diabetes Mellitus, </w:t>
            </w: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000000"/>
              </w:rPr>
              <w:t>% (n)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pt-PT"/>
              </w:rPr>
              <w:t>70 (7)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pt-PT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</w:rPr>
              <w:t>0.000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Diabetes duration (years)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8 (1; 14)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0.260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Glycated hemoglobin (mmol/mol)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55 (25; 109)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33 (22; 40)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0.006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Glycated hemoglobin (%)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7.2 (4.4; 12.1)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5.2 (4.2; 5.8)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0.006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</w:rPr>
              <w:t xml:space="preserve">Nephropathy, </w:t>
            </w: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000000"/>
              </w:rPr>
              <w:t>% (n)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pt-PT"/>
              </w:rPr>
              <w:t>60 (6)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pt-PT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0.000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</w:rPr>
              <w:t xml:space="preserve">Use ofinsulin, </w:t>
            </w: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000000"/>
              </w:rPr>
              <w:t>% (n)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pt-PT"/>
              </w:rPr>
              <w:t>40 (4)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pt-PT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lang w:val="pt-PT"/>
              </w:rPr>
              <w:t>0.008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</w:rPr>
              <w:t>Fasting plasma glucose (mmol/l)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5.4 (3.8; 13,8)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4.5 (4.7; 5.2)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0.045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</w:rPr>
              <w:t>Total cholesterol (mmol/l)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3.5 (2.5; 20.0)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4.0 (2.1; 5.1)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0.644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</w:rPr>
              <w:t>HDL-cholesterol (mmol/l)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0.8 (0.6; 1.3)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1.4 (1.2; 2.2)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0.000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</w:rPr>
              <w:t>LDL-cholesterol (mmol/l)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2.1 (1.2; 4.0)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2.2 (1.1; 3.7)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0.611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</w:rPr>
              <w:t>Triglycerides (mmol/l)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1.3 (1.0; 80.4)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0.8 (0.5; 1.7)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0.001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7850B9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</w:rPr>
              <w:t>Leptin (ng/mL)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1.1 (0.8; 1.7)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4.9 (1.3; 33.0)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0.000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GradeMdia2-nfase11"/>
              <w:tabs>
                <w:tab w:val="center" w:pos="4513"/>
                <w:tab w:val="right" w:pos="902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u w:color="C0C0C0"/>
              </w:rPr>
              <w:t>PCRus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0.14 (0.10; 1.99)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0.10 (0.10; 1.00)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0.022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GradeMdia2-nfase11"/>
              <w:tabs>
                <w:tab w:val="center" w:pos="4513"/>
                <w:tab w:val="right" w:pos="9026"/>
              </w:tabs>
              <w:rPr>
                <w:rFonts w:ascii="Arial" w:hAnsi="Arial" w:cs="Arial"/>
                <w:b/>
                <w:bCs/>
                <w:sz w:val="20"/>
                <w:szCs w:val="20"/>
                <w:u w:color="C0C0C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color="C0C0C0"/>
              </w:rPr>
              <w:t>Basal insulin (mUI/mL</w:t>
            </w:r>
            <w:r w:rsidRPr="007850B9">
              <w:rPr>
                <w:rFonts w:ascii="Arial" w:hAnsi="Arial" w:cs="Arial"/>
                <w:b/>
                <w:bCs/>
                <w:sz w:val="20"/>
                <w:szCs w:val="20"/>
                <w:u w:color="C0C0C0"/>
              </w:rPr>
              <w:t>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jc w:val="center"/>
              <w:rPr>
                <w:rFonts w:cs="Arial"/>
              </w:rPr>
            </w:pPr>
            <w:r w:rsidRPr="007850B9">
              <w:rPr>
                <w:rFonts w:cs="Arial"/>
              </w:rPr>
              <w:t>22,8 (6,7; 102,0)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jc w:val="center"/>
              <w:rPr>
                <w:rFonts w:cs="Arial"/>
              </w:rPr>
            </w:pPr>
            <w:r w:rsidRPr="007850B9">
              <w:rPr>
                <w:rFonts w:cs="Arial"/>
              </w:rPr>
              <w:t>9,8 (2,8; 13,4)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0.000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GradeMdia2-nfase11"/>
              <w:tabs>
                <w:tab w:val="center" w:pos="4513"/>
                <w:tab w:val="right" w:pos="9026"/>
              </w:tabs>
              <w:rPr>
                <w:rFonts w:ascii="Arial" w:hAnsi="Arial" w:cs="Arial"/>
                <w:b/>
                <w:bCs/>
                <w:sz w:val="20"/>
                <w:szCs w:val="20"/>
                <w:u w:color="C0C0C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color="C0C0C0"/>
              </w:rPr>
              <w:t>HOMA-IR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jc w:val="center"/>
              <w:rPr>
                <w:rFonts w:cs="Arial"/>
              </w:rPr>
            </w:pPr>
            <w:r w:rsidRPr="007850B9">
              <w:rPr>
                <w:rFonts w:cs="Arial"/>
              </w:rPr>
              <w:t>6,8 (1,2; 15,1)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jc w:val="center"/>
              <w:rPr>
                <w:rFonts w:cs="Arial"/>
              </w:rPr>
            </w:pPr>
            <w:r w:rsidRPr="007850B9">
              <w:rPr>
                <w:rFonts w:cs="Arial"/>
              </w:rPr>
              <w:t>2,2 (0,5; 2,8)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0.000</w:t>
            </w:r>
          </w:p>
        </w:tc>
      </w:tr>
      <w:tr w:rsidR="00FF0A47" w:rsidRPr="007850B9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7850B9" w:rsidRDefault="00FF0A47" w:rsidP="00426047">
            <w:pPr>
              <w:pStyle w:val="GradeMdia2-nfase11"/>
              <w:tabs>
                <w:tab w:val="center" w:pos="4513"/>
                <w:tab w:val="right" w:pos="9026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u w:color="C0C0C0"/>
                <w:lang w:val="en-US"/>
              </w:rPr>
              <w:t>ACR (mg/g)</w:t>
            </w:r>
          </w:p>
        </w:tc>
        <w:tc>
          <w:tcPr>
            <w:tcW w:w="2284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  <w:lang w:val="en-US"/>
              </w:rPr>
              <w:t>85.3 (3.1; 5535.0)</w:t>
            </w:r>
          </w:p>
        </w:tc>
        <w:tc>
          <w:tcPr>
            <w:tcW w:w="2209" w:type="dxa"/>
            <w:shd w:val="clear" w:color="auto" w:fill="auto"/>
          </w:tcPr>
          <w:p w:rsidR="00FF0A47" w:rsidRPr="007850B9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sz w:val="20"/>
                <w:szCs w:val="20"/>
              </w:rPr>
              <w:t>5.9 (2.5; 24.9)</w:t>
            </w:r>
          </w:p>
        </w:tc>
        <w:tc>
          <w:tcPr>
            <w:tcW w:w="928" w:type="dxa"/>
            <w:shd w:val="clear" w:color="auto" w:fill="auto"/>
          </w:tcPr>
          <w:p w:rsidR="00FF0A47" w:rsidRPr="007850B9" w:rsidRDefault="00FF0A47" w:rsidP="00426047">
            <w:pPr>
              <w:pStyle w:val="Corpo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50B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0.004</w:t>
            </w:r>
          </w:p>
        </w:tc>
      </w:tr>
      <w:tr w:rsidR="00FF0A47" w:rsidRPr="0019563E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2C36F3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Clinical CAN % (n)</w:t>
            </w:r>
          </w:p>
        </w:tc>
        <w:tc>
          <w:tcPr>
            <w:tcW w:w="2284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40 (4)</w:t>
            </w:r>
          </w:p>
        </w:tc>
        <w:tc>
          <w:tcPr>
            <w:tcW w:w="2209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b/>
                <w:bCs/>
                <w:sz w:val="20"/>
                <w:szCs w:val="20"/>
              </w:rPr>
              <w:t>0.008</w:t>
            </w:r>
          </w:p>
        </w:tc>
      </w:tr>
      <w:tr w:rsidR="00FF0A47" w:rsidRPr="0019563E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2C36F3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Incipient CAN % (n)</w:t>
            </w:r>
          </w:p>
        </w:tc>
        <w:tc>
          <w:tcPr>
            <w:tcW w:w="2284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10 (1)</w:t>
            </w:r>
          </w:p>
        </w:tc>
        <w:tc>
          <w:tcPr>
            <w:tcW w:w="2209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0.333</w:t>
            </w:r>
          </w:p>
        </w:tc>
      </w:tr>
      <w:tr w:rsidR="00FF0A47" w:rsidRPr="0019563E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2C36F3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 xml:space="preserve">30/15 coefficient </w:t>
            </w:r>
          </w:p>
        </w:tc>
        <w:tc>
          <w:tcPr>
            <w:tcW w:w="2284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1.19 (0.98; 1.59)</w:t>
            </w:r>
          </w:p>
        </w:tc>
        <w:tc>
          <w:tcPr>
            <w:tcW w:w="2209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1.55 (2.26; 2.02)</w:t>
            </w:r>
          </w:p>
        </w:tc>
        <w:tc>
          <w:tcPr>
            <w:tcW w:w="928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b/>
                <w:bCs/>
                <w:sz w:val="20"/>
                <w:szCs w:val="20"/>
              </w:rPr>
              <w:t>0.001</w:t>
            </w:r>
          </w:p>
        </w:tc>
      </w:tr>
      <w:tr w:rsidR="00FF0A47" w:rsidRPr="0019563E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2C36F3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E/I coefficient</w:t>
            </w:r>
          </w:p>
        </w:tc>
        <w:tc>
          <w:tcPr>
            <w:tcW w:w="2284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1.33 (1.09; 1.57)</w:t>
            </w:r>
          </w:p>
        </w:tc>
        <w:tc>
          <w:tcPr>
            <w:tcW w:w="2209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 xml:space="preserve">1.60 (1.23; 2.23) </w:t>
            </w:r>
          </w:p>
        </w:tc>
        <w:tc>
          <w:tcPr>
            <w:tcW w:w="928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b/>
                <w:bCs/>
                <w:sz w:val="20"/>
                <w:szCs w:val="20"/>
              </w:rPr>
              <w:t>0.001</w:t>
            </w:r>
          </w:p>
        </w:tc>
      </w:tr>
      <w:tr w:rsidR="00FF0A47" w:rsidRPr="0019563E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2C36F3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 xml:space="preserve">Valsalva coefficient </w:t>
            </w:r>
          </w:p>
        </w:tc>
        <w:tc>
          <w:tcPr>
            <w:tcW w:w="2284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1.54 (1.15; 2.34)</w:t>
            </w:r>
          </w:p>
        </w:tc>
        <w:tc>
          <w:tcPr>
            <w:tcW w:w="2209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1.74 (1.50; 2.42)</w:t>
            </w:r>
          </w:p>
        </w:tc>
        <w:tc>
          <w:tcPr>
            <w:tcW w:w="928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b/>
                <w:bCs/>
                <w:sz w:val="20"/>
                <w:szCs w:val="20"/>
              </w:rPr>
              <w:t>0.039</w:t>
            </w:r>
          </w:p>
        </w:tc>
      </w:tr>
      <w:tr w:rsidR="00FF0A47" w:rsidRPr="0019563E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B0137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000000"/>
                <w:lang w:val="en-US"/>
              </w:rPr>
              <w:t xml:space="preserve">Reduction in </w:t>
            </w:r>
            <w:proofErr w:type="spellStart"/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000000"/>
                <w:lang w:val="en-US"/>
              </w:rPr>
              <w:t>SBP</w:t>
            </w:r>
            <w:proofErr w:type="spellEnd"/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000000"/>
                <w:lang w:val="en-US"/>
              </w:rPr>
              <w:t xml:space="preserve"> &gt; 10 mmHg </w:t>
            </w: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% (n)</w:t>
            </w:r>
          </w:p>
        </w:tc>
        <w:tc>
          <w:tcPr>
            <w:tcW w:w="2284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30 (3)</w:t>
            </w:r>
          </w:p>
        </w:tc>
        <w:tc>
          <w:tcPr>
            <w:tcW w:w="2209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5 (1)</w:t>
            </w:r>
          </w:p>
        </w:tc>
        <w:tc>
          <w:tcPr>
            <w:tcW w:w="928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0.095</w:t>
            </w:r>
          </w:p>
        </w:tc>
      </w:tr>
      <w:tr w:rsidR="00FF0A47" w:rsidRPr="0019563E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B0137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000000"/>
                <w:lang w:val="en-US"/>
              </w:rPr>
              <w:t xml:space="preserve">Reduction in </w:t>
            </w:r>
            <w:proofErr w:type="spellStart"/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000000"/>
                <w:lang w:val="en-US"/>
              </w:rPr>
              <w:t>SBP</w:t>
            </w:r>
            <w:proofErr w:type="spellEnd"/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000000"/>
                <w:lang w:val="en-US"/>
              </w:rPr>
              <w:t xml:space="preserve"> &gt; 20 mmHg </w:t>
            </w: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% (n)</w:t>
            </w:r>
          </w:p>
        </w:tc>
        <w:tc>
          <w:tcPr>
            <w:tcW w:w="2284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10 (1)</w:t>
            </w:r>
          </w:p>
        </w:tc>
        <w:tc>
          <w:tcPr>
            <w:tcW w:w="2209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28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0.333</w:t>
            </w:r>
          </w:p>
        </w:tc>
      </w:tr>
      <w:tr w:rsidR="00FF0A47" w:rsidRPr="0019563E" w:rsidTr="00426047">
        <w:trPr>
          <w:trHeight w:val="256"/>
        </w:trPr>
        <w:tc>
          <w:tcPr>
            <w:tcW w:w="4165" w:type="dxa"/>
            <w:shd w:val="clear" w:color="auto" w:fill="auto"/>
          </w:tcPr>
          <w:p w:rsidR="00FF0A47" w:rsidRPr="00B0137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 xml:space="preserve">Component of very low frequency </w:t>
            </w: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000000"/>
                <w:lang w:val="en-US"/>
              </w:rPr>
              <w:t>(Hz)</w:t>
            </w:r>
          </w:p>
        </w:tc>
        <w:tc>
          <w:tcPr>
            <w:tcW w:w="2284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383 (88; 4250)</w:t>
            </w:r>
          </w:p>
        </w:tc>
        <w:tc>
          <w:tcPr>
            <w:tcW w:w="2209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1988 (688; 18341)</w:t>
            </w:r>
          </w:p>
        </w:tc>
        <w:tc>
          <w:tcPr>
            <w:tcW w:w="928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b/>
                <w:bCs/>
                <w:sz w:val="20"/>
                <w:szCs w:val="20"/>
              </w:rPr>
              <w:t>0.002</w:t>
            </w:r>
          </w:p>
        </w:tc>
      </w:tr>
      <w:tr w:rsidR="00FF0A47" w:rsidRPr="0019563E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B0137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 xml:space="preserve">Component of low frequency </w:t>
            </w: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000000"/>
                <w:lang w:val="en-US"/>
              </w:rPr>
              <w:t>(Hz)</w:t>
            </w:r>
          </w:p>
        </w:tc>
        <w:tc>
          <w:tcPr>
            <w:tcW w:w="2284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329 (139; 2525)</w:t>
            </w:r>
          </w:p>
        </w:tc>
        <w:tc>
          <w:tcPr>
            <w:tcW w:w="2209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 xml:space="preserve">1916 (343; 5580)  </w:t>
            </w:r>
          </w:p>
        </w:tc>
        <w:tc>
          <w:tcPr>
            <w:tcW w:w="928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b/>
                <w:bCs/>
                <w:sz w:val="20"/>
                <w:szCs w:val="20"/>
              </w:rPr>
              <w:t>0.001</w:t>
            </w:r>
          </w:p>
        </w:tc>
      </w:tr>
      <w:tr w:rsidR="00FF0A47" w:rsidRPr="0019563E" w:rsidTr="00426047">
        <w:trPr>
          <w:trHeight w:val="135"/>
        </w:trPr>
        <w:tc>
          <w:tcPr>
            <w:tcW w:w="4165" w:type="dxa"/>
            <w:shd w:val="clear" w:color="auto" w:fill="auto"/>
          </w:tcPr>
          <w:p w:rsidR="00FF0A47" w:rsidRPr="00B01379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  <w:lang w:val="en-US"/>
              </w:rPr>
            </w:pP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 xml:space="preserve">Component of high frequency </w:t>
            </w: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000000"/>
                <w:lang w:val="en-US"/>
              </w:rPr>
              <w:t>(Hz)</w:t>
            </w:r>
          </w:p>
        </w:tc>
        <w:tc>
          <w:tcPr>
            <w:tcW w:w="2284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627 (55; 1840)</w:t>
            </w:r>
          </w:p>
        </w:tc>
        <w:tc>
          <w:tcPr>
            <w:tcW w:w="2209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2993 (270; 9969)</w:t>
            </w:r>
          </w:p>
        </w:tc>
        <w:tc>
          <w:tcPr>
            <w:tcW w:w="928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b/>
                <w:bCs/>
                <w:sz w:val="20"/>
                <w:szCs w:val="20"/>
              </w:rPr>
              <w:t>0.001</w:t>
            </w:r>
          </w:p>
        </w:tc>
      </w:tr>
      <w:tr w:rsidR="00FF0A47" w:rsidRPr="0019563E" w:rsidTr="00426047">
        <w:trPr>
          <w:trHeight w:val="274"/>
        </w:trPr>
        <w:tc>
          <w:tcPr>
            <w:tcW w:w="4165" w:type="dxa"/>
            <w:shd w:val="clear" w:color="auto" w:fill="auto"/>
          </w:tcPr>
          <w:p w:rsidR="00FF0A47" w:rsidRPr="002C36F3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 xml:space="preserve">Total amplitude spectrum </w:t>
            </w: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000000"/>
                <w:lang w:val="en-US"/>
              </w:rPr>
              <w:t>(Hz)</w:t>
            </w:r>
          </w:p>
        </w:tc>
        <w:tc>
          <w:tcPr>
            <w:tcW w:w="2284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1582 (501;9691)</w:t>
            </w:r>
          </w:p>
        </w:tc>
        <w:tc>
          <w:tcPr>
            <w:tcW w:w="2209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7125 (1853; 24788)</w:t>
            </w:r>
          </w:p>
        </w:tc>
        <w:tc>
          <w:tcPr>
            <w:tcW w:w="928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b/>
                <w:bCs/>
                <w:sz w:val="20"/>
                <w:szCs w:val="20"/>
              </w:rPr>
              <w:t>0.000</w:t>
            </w:r>
          </w:p>
        </w:tc>
      </w:tr>
      <w:tr w:rsidR="00FF0A47" w:rsidRPr="0019563E" w:rsidTr="00426047">
        <w:trPr>
          <w:trHeight w:val="145"/>
        </w:trPr>
        <w:tc>
          <w:tcPr>
            <w:tcW w:w="4165" w:type="dxa"/>
            <w:shd w:val="clear" w:color="auto" w:fill="auto"/>
          </w:tcPr>
          <w:p w:rsidR="00FF0A47" w:rsidRPr="002C36F3" w:rsidRDefault="00FF0A47" w:rsidP="00426047">
            <w:pPr>
              <w:pStyle w:val="MediumGrid21"/>
              <w:tabs>
                <w:tab w:val="center" w:pos="4513"/>
                <w:tab w:val="right" w:pos="9026"/>
              </w:tabs>
              <w:rPr>
                <w:rFonts w:cs="Arial"/>
                <w:b/>
                <w:sz w:val="20"/>
                <w:szCs w:val="20"/>
              </w:rPr>
            </w:pPr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LF/</w:t>
            </w:r>
            <w:proofErr w:type="spellStart"/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>HF</w:t>
            </w:r>
            <w:proofErr w:type="spellEnd"/>
            <w:r w:rsidRPr="002C36F3">
              <w:rPr>
                <w:rFonts w:cs="Arial"/>
                <w:b/>
                <w:bCs/>
                <w:color w:val="000000"/>
                <w:sz w:val="20"/>
                <w:szCs w:val="20"/>
                <w:u w:color="C0C0C0"/>
                <w:lang w:val="en-US"/>
              </w:rPr>
              <w:t xml:space="preserve"> ratio</w:t>
            </w:r>
          </w:p>
        </w:tc>
        <w:tc>
          <w:tcPr>
            <w:tcW w:w="2284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1.21 (0.12; 3.70)</w:t>
            </w:r>
          </w:p>
        </w:tc>
        <w:tc>
          <w:tcPr>
            <w:tcW w:w="2209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0.58 (0.26; 1.70)</w:t>
            </w:r>
          </w:p>
        </w:tc>
        <w:tc>
          <w:tcPr>
            <w:tcW w:w="928" w:type="dxa"/>
            <w:shd w:val="clear" w:color="auto" w:fill="auto"/>
          </w:tcPr>
          <w:p w:rsidR="00FF0A47" w:rsidRPr="002C36F3" w:rsidRDefault="00FF0A47" w:rsidP="00426047">
            <w:pPr>
              <w:pStyle w:val="BodyText"/>
              <w:tabs>
                <w:tab w:val="left" w:pos="851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C36F3">
              <w:rPr>
                <w:rFonts w:ascii="Arial" w:hAnsi="Arial" w:cs="Arial"/>
                <w:sz w:val="20"/>
                <w:szCs w:val="20"/>
              </w:rPr>
              <w:t>0.454</w:t>
            </w:r>
          </w:p>
        </w:tc>
      </w:tr>
    </w:tbl>
    <w:p w:rsidR="00FF0A47" w:rsidRDefault="00FF0A47" w:rsidP="00FF0A47">
      <w:pPr>
        <w:pStyle w:val="Corpo"/>
        <w:spacing w:after="0"/>
        <w:jc w:val="both"/>
        <w:rPr>
          <w:rStyle w:val="Nenhum"/>
          <w:rFonts w:ascii="Arial" w:hAnsi="Arial" w:cs="Arial"/>
          <w:bCs/>
          <w:sz w:val="20"/>
          <w:szCs w:val="20"/>
          <w:lang w:val="en-US"/>
        </w:rPr>
      </w:pPr>
    </w:p>
    <w:p w:rsidR="00FF0A47" w:rsidRDefault="00FF0A47" w:rsidP="00FF0A47">
      <w:pPr>
        <w:pStyle w:val="Corpo"/>
        <w:spacing w:after="0"/>
        <w:jc w:val="both"/>
        <w:rPr>
          <w:rStyle w:val="Nenhum"/>
          <w:rFonts w:ascii="Arial" w:hAnsi="Arial" w:cs="Arial"/>
          <w:bCs/>
          <w:sz w:val="20"/>
          <w:szCs w:val="20"/>
          <w:lang w:val="en-US"/>
        </w:rPr>
      </w:pPr>
    </w:p>
    <w:p w:rsidR="00FF0A47" w:rsidRPr="00312FB8" w:rsidRDefault="00FF0A47" w:rsidP="00FF0A47">
      <w:pPr>
        <w:pStyle w:val="Corpo"/>
        <w:spacing w:after="0"/>
        <w:jc w:val="both"/>
        <w:rPr>
          <w:rStyle w:val="Nenhum"/>
          <w:rFonts w:ascii="Arial" w:hAnsi="Arial" w:cs="Arial"/>
          <w:bCs/>
          <w:sz w:val="20"/>
          <w:szCs w:val="20"/>
          <w:vertAlign w:val="superscript"/>
          <w:lang w:val="en-US"/>
        </w:rPr>
      </w:pPr>
      <w:r w:rsidRPr="00312FB8">
        <w:rPr>
          <w:rStyle w:val="Nenhum"/>
          <w:rFonts w:ascii="Arial" w:hAnsi="Arial" w:cs="Arial"/>
          <w:bCs/>
          <w:sz w:val="20"/>
          <w:szCs w:val="20"/>
          <w:lang w:val="en-US"/>
        </w:rPr>
        <w:t>Note: Adapted from Ponte et al (2018).</w:t>
      </w:r>
      <w:r w:rsidRPr="00312FB8">
        <w:rPr>
          <w:rStyle w:val="Nenhum"/>
          <w:rFonts w:ascii="Arial" w:hAnsi="Arial" w:cs="Arial"/>
          <w:bCs/>
          <w:sz w:val="20"/>
          <w:szCs w:val="20"/>
          <w:vertAlign w:val="superscript"/>
          <w:lang w:val="en-US"/>
        </w:rPr>
        <w:t>4</w:t>
      </w:r>
    </w:p>
    <w:p w:rsidR="00FF0A47" w:rsidRPr="00562178" w:rsidRDefault="00FF0A47" w:rsidP="00FF0A47">
      <w:pPr>
        <w:pStyle w:val="Corpo"/>
        <w:spacing w:after="0"/>
        <w:jc w:val="both"/>
        <w:rPr>
          <w:rFonts w:ascii="Arial" w:eastAsia="Arial" w:hAnsi="Arial" w:cs="Arial"/>
          <w:sz w:val="16"/>
          <w:szCs w:val="16"/>
          <w:lang w:val="en-US"/>
        </w:rPr>
      </w:pPr>
      <w:r w:rsidRPr="00562178">
        <w:rPr>
          <w:rStyle w:val="Nenhum"/>
          <w:rFonts w:ascii="Arial" w:hAnsi="Arial" w:cs="Arial"/>
          <w:b/>
          <w:bCs/>
          <w:sz w:val="16"/>
          <w:szCs w:val="16"/>
          <w:lang w:val="en-US"/>
        </w:rPr>
        <w:t>Abbreviations:</w:t>
      </w:r>
      <w:r w:rsidRPr="00562178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562178">
        <w:rPr>
          <w:rFonts w:ascii="Arial" w:hAnsi="Arial" w:cs="Arial"/>
          <w:sz w:val="16"/>
          <w:szCs w:val="16"/>
          <w:lang w:val="en-US"/>
        </w:rPr>
        <w:t>CGL</w:t>
      </w:r>
      <w:proofErr w:type="spellEnd"/>
      <w:r w:rsidRPr="00562178">
        <w:rPr>
          <w:rFonts w:ascii="Arial" w:hAnsi="Arial" w:cs="Arial"/>
          <w:sz w:val="16"/>
          <w:szCs w:val="16"/>
          <w:lang w:val="en-US"/>
        </w:rPr>
        <w:t xml:space="preserve">, congenital generalized lipodystrophy; BMI, body mass index; HR, heart rate, BP, blood pressure; us-CRP, ultra-sensitive C reactive protein; ACR, albumin/creatinine ratio; CAN, cardiac autonomic neuropathy; </w:t>
      </w:r>
      <w:proofErr w:type="spellStart"/>
      <w:r w:rsidRPr="00562178">
        <w:rPr>
          <w:rFonts w:ascii="Arial" w:hAnsi="Arial" w:cs="Arial"/>
          <w:sz w:val="16"/>
          <w:szCs w:val="16"/>
          <w:lang w:val="en-US"/>
        </w:rPr>
        <w:t>SBP</w:t>
      </w:r>
      <w:proofErr w:type="spellEnd"/>
      <w:r w:rsidRPr="00562178">
        <w:rPr>
          <w:rFonts w:ascii="Arial" w:hAnsi="Arial" w:cs="Arial"/>
          <w:sz w:val="16"/>
          <w:szCs w:val="16"/>
          <w:lang w:val="en-US"/>
        </w:rPr>
        <w:t>, systolic blood pressure; LF/</w:t>
      </w:r>
      <w:proofErr w:type="spellStart"/>
      <w:r w:rsidRPr="00562178">
        <w:rPr>
          <w:rFonts w:ascii="Arial" w:hAnsi="Arial" w:cs="Arial"/>
          <w:sz w:val="16"/>
          <w:szCs w:val="16"/>
          <w:lang w:val="en-US"/>
        </w:rPr>
        <w:t>HF</w:t>
      </w:r>
      <w:proofErr w:type="spellEnd"/>
      <w:r w:rsidRPr="00562178">
        <w:rPr>
          <w:rFonts w:ascii="Arial" w:hAnsi="Arial" w:cs="Arial"/>
          <w:sz w:val="16"/>
          <w:szCs w:val="16"/>
          <w:lang w:val="en-US"/>
        </w:rPr>
        <w:t>, low frequency/high frequency ratio.</w:t>
      </w:r>
    </w:p>
    <w:sectPr w:rsidR="00FF0A47" w:rsidRPr="00562178" w:rsidSect="00403E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 w:grammar="clean"/>
  <w:defaultTabStop w:val="720"/>
  <w:characterSpacingControl w:val="doNotCompress"/>
  <w:compat/>
  <w:rsids>
    <w:rsidRoot w:val="00FF0A47"/>
    <w:rsid w:val="000D6C28"/>
    <w:rsid w:val="0021695F"/>
    <w:rsid w:val="002745EF"/>
    <w:rsid w:val="002D17B1"/>
    <w:rsid w:val="00400851"/>
    <w:rsid w:val="00403EB6"/>
    <w:rsid w:val="0051500F"/>
    <w:rsid w:val="005D5E1E"/>
    <w:rsid w:val="005F16FA"/>
    <w:rsid w:val="006C4917"/>
    <w:rsid w:val="008D4E5C"/>
    <w:rsid w:val="00A0286C"/>
    <w:rsid w:val="00AF7BC0"/>
    <w:rsid w:val="00C61FD7"/>
    <w:rsid w:val="00C87678"/>
    <w:rsid w:val="00FF0A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_0"/>
    <w:rsid w:val="00FF0A47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eastAsia="pt-BR"/>
    </w:rPr>
  </w:style>
  <w:style w:type="character" w:customStyle="1" w:styleId="Nenhum">
    <w:name w:val="Nenhum"/>
    <w:rsid w:val="00FF0A47"/>
  </w:style>
  <w:style w:type="paragraph" w:customStyle="1" w:styleId="Corpo">
    <w:name w:val="Corpo"/>
    <w:rsid w:val="00FF0A4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BR" w:eastAsia="pt-BR"/>
    </w:rPr>
  </w:style>
  <w:style w:type="paragraph" w:styleId="BodyText">
    <w:name w:val="Body Text"/>
    <w:link w:val="BodyTextChar"/>
    <w:rsid w:val="00FF0A47"/>
    <w:pPr>
      <w:pBdr>
        <w:top w:val="nil"/>
        <w:left w:val="nil"/>
        <w:bottom w:val="nil"/>
        <w:right w:val="nil"/>
        <w:between w:val="nil"/>
        <w:bar w:val="nil"/>
      </w:pBdr>
      <w:spacing w:after="120"/>
    </w:pPr>
    <w:rPr>
      <w:rFonts w:ascii="Calibri" w:eastAsia="Calibri" w:hAnsi="Calibri" w:cs="Times New Roman"/>
      <w:color w:val="000000"/>
      <w:u w:color="000000"/>
      <w:bdr w:val="nil"/>
      <w:lang w:eastAsia="pt-BR"/>
    </w:rPr>
  </w:style>
  <w:style w:type="character" w:customStyle="1" w:styleId="BodyTextChar">
    <w:name w:val="Body Text Char"/>
    <w:basedOn w:val="DefaultParagraphFont"/>
    <w:link w:val="BodyText"/>
    <w:rsid w:val="00FF0A47"/>
    <w:rPr>
      <w:rFonts w:ascii="Calibri" w:eastAsia="Calibri" w:hAnsi="Calibri" w:cs="Times New Roman"/>
      <w:color w:val="000000"/>
      <w:u w:color="000000"/>
      <w:bdr w:val="nil"/>
      <w:lang w:eastAsia="pt-BR"/>
    </w:rPr>
  </w:style>
  <w:style w:type="paragraph" w:customStyle="1" w:styleId="MediumGrid21">
    <w:name w:val="Medium Grid 21"/>
    <w:rsid w:val="00FF0A47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Arial" w:eastAsia="Arial Unicode MS" w:hAnsi="Arial" w:cs="Arial Unicode MS"/>
      <w:color w:val="0000FF"/>
      <w:sz w:val="24"/>
      <w:szCs w:val="24"/>
      <w:u w:color="0000FF"/>
      <w:bdr w:val="nil"/>
      <w:lang w:val="pt-PT" w:eastAsia="pt-BR"/>
    </w:rPr>
  </w:style>
  <w:style w:type="paragraph" w:customStyle="1" w:styleId="GradeMdia2-nfase11">
    <w:name w:val="Grade Média 2 - Ênfase 11"/>
    <w:rsid w:val="00FF0A4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2221</Characters>
  <Application>Microsoft Office Word</Application>
  <DocSecurity>0</DocSecurity>
  <Lines>18</Lines>
  <Paragraphs>5</Paragraphs>
  <ScaleCrop>false</ScaleCrop>
  <Company/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0013914</dc:creator>
  <cp:lastModifiedBy>0013914</cp:lastModifiedBy>
  <cp:revision>3</cp:revision>
  <dcterms:created xsi:type="dcterms:W3CDTF">2019-06-19T09:01:00Z</dcterms:created>
  <dcterms:modified xsi:type="dcterms:W3CDTF">2019-06-19T09:06:00Z</dcterms:modified>
</cp:coreProperties>
</file>