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9"/>
        <w:gridCol w:w="1533"/>
        <w:gridCol w:w="1653"/>
        <w:gridCol w:w="1693"/>
      </w:tblGrid>
      <w:tr w:rsidR="00E577A2">
        <w:trPr>
          <w:trHeight w:val="295"/>
        </w:trPr>
        <w:tc>
          <w:tcPr>
            <w:tcW w:w="9348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 w:rsidP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22"/>
                <w:szCs w:val="22"/>
                <w:lang w:bidi="ar"/>
              </w:rPr>
              <w:t>Table 2</w:t>
            </w:r>
            <w:bookmarkStart w:id="0" w:name="_GoBack"/>
            <w:bookmarkEnd w:id="0"/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22"/>
                <w:szCs w:val="22"/>
                <w:lang w:bidi="ar"/>
              </w:rPr>
              <w:t>: Subgroup analysis of prevalence of sarcopenia based on various factors.</w:t>
            </w:r>
          </w:p>
        </w:tc>
      </w:tr>
      <w:tr w:rsidR="00E577A2">
        <w:trPr>
          <w:trHeight w:val="295"/>
        </w:trPr>
        <w:tc>
          <w:tcPr>
            <w:tcW w:w="44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Outcomes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Number of trials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OR/RR (95% CI)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Heterogeneity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,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I2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(%)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Pooled results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1.82(1.27-2.61)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92.5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Subgroup analyses based age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Mean age≥70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0.19(0.14-0.25)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97.5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Mean age˂70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0.18(0.14-0.23)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95.7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NR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  (0.07-0.10)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Subgroup analyses based on article type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Cross-sectional study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0.18 (0.13-0.23)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97.4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Longitudinal study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 (0.07-0.26)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97.9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Cohort study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0.22 (0.13-0.30)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97.3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Case-control study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0.15 (0.07-0.24)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Subgroup analyses based on number of sample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N≥300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0.19 (0.15-0.24)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N˂300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0.18 (0.13-0.23)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98.6</w:t>
            </w:r>
          </w:p>
        </w:tc>
      </w:tr>
      <w:tr w:rsidR="00E577A2">
        <w:trPr>
          <w:trHeight w:val="280"/>
        </w:trPr>
        <w:tc>
          <w:tcPr>
            <w:tcW w:w="9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Subgroup analyses based on quality of included studies (NOS)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≥8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0.24 (0.16-0.31)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98.4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˂</w:t>
            </w:r>
            <w:r>
              <w:rPr>
                <w:rStyle w:val="font41"/>
                <w:rFonts w:hint="default"/>
                <w:lang w:bidi="ar"/>
              </w:rPr>
              <w:t>8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0.15 (0.12-0.17)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91.9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Subgroup analyses based on diagnostic criterion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LMM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0.19 (0.11-0.28)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90.7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LMM + LMS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0.19 (0.15-0.24)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96.2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LSMI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0.18 (0.11-0.24)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98.3</w:t>
            </w:r>
          </w:p>
        </w:tc>
      </w:tr>
      <w:tr w:rsidR="00E577A2">
        <w:trPr>
          <w:trHeight w:val="280"/>
        </w:trPr>
        <w:tc>
          <w:tcPr>
            <w:tcW w:w="9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Subgroup analyses based on definition of sarcopenia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AWGS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 (0.13-0.18)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93.6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EWGSOP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0.29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(0.14-0.44)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97.6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FISH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0.14 (0.10-0.18)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KNHANES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0.29 (0.28-0.31)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Subgroup analyses based on diagnostic modality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BIA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 (0.12-0.22)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98.1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DEXA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 (0.13-0.22)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92.5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CT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0.47 (0.41-0.53)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inextensible tape measure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0.24 (0.19-0.29)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Subgroup analyses based on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rergion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left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E577A2">
            <w:pPr>
              <w:jc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Japan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0.16 (0.12-0.19)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93.5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Brazil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0.22 (0.06-0.38)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97.6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China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0.17 (0.07-0.26)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93.6</w:t>
            </w:r>
          </w:p>
        </w:tc>
      </w:tr>
      <w:tr w:rsidR="00E577A2">
        <w:trPr>
          <w:trHeight w:val="280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Korea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0.20 (0.10-0.30)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98.7</w:t>
            </w:r>
          </w:p>
        </w:tc>
      </w:tr>
      <w:tr w:rsidR="00E577A2">
        <w:trPr>
          <w:trHeight w:val="295"/>
        </w:trPr>
        <w:tc>
          <w:tcPr>
            <w:tcW w:w="44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Others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0.25 (0.19-0.31)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72.4</w:t>
            </w:r>
          </w:p>
        </w:tc>
      </w:tr>
      <w:tr w:rsidR="00E577A2">
        <w:trPr>
          <w:trHeight w:val="1660"/>
        </w:trPr>
        <w:tc>
          <w:tcPr>
            <w:tcW w:w="9348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bottom"/>
          </w:tcPr>
          <w:p w:rsidR="00E577A2" w:rsidRDefault="0092032F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OR= odds ratio; RR= relative ratio; CI= confidence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interval;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Hb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= hemoglobin; NOS= Newcastle-Ottawa Scale; NR= not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report.DEXA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: Dual-energy X ray absorptiometry; BIA: bioelectrical impedance analysis</w:t>
            </w:r>
            <w:r>
              <w:rPr>
                <w:rStyle w:val="font41"/>
                <w:rFonts w:hint="default"/>
                <w:lang w:bidi="ar"/>
              </w:rPr>
              <w:t>；</w:t>
            </w:r>
            <w:r>
              <w:rPr>
                <w:rStyle w:val="font11"/>
                <w:rFonts w:eastAsia="SimSun"/>
                <w:lang w:bidi="ar"/>
              </w:rPr>
              <w:t>CT: computed tomography; LMM: low muscle mass; LMS: low muscle strength; LSMI: low skeletal muscle mass inde</w:t>
            </w:r>
            <w:r>
              <w:rPr>
                <w:rStyle w:val="font11"/>
                <w:rFonts w:eastAsia="SimSun"/>
                <w:lang w:bidi="ar"/>
              </w:rPr>
              <w:t>x; AWGS:  the Asian Working Group for Sarcopenia; FISH: the Foundation for the National Institutes of Health; EWGSOP: the European Working Group on Sarcopenia in Older People; KNHANES: The Korea National Health and Nutrition Examination Study.</w:t>
            </w:r>
          </w:p>
        </w:tc>
      </w:tr>
    </w:tbl>
    <w:p w:rsidR="00E577A2" w:rsidRDefault="00E577A2"/>
    <w:sectPr w:rsidR="00E577A2">
      <w:pgSz w:w="12928" w:h="18314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A2"/>
    <w:rsid w:val="0092032F"/>
    <w:rsid w:val="00E577A2"/>
    <w:rsid w:val="0C865A75"/>
    <w:rsid w:val="121945E4"/>
    <w:rsid w:val="2AD5347C"/>
    <w:rsid w:val="3CE26C8E"/>
    <w:rsid w:val="424B4BF0"/>
    <w:rsid w:val="5F1B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F39054A-FE78-4B0B-864F-B27665D4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01">
    <w:name w:val="font01"/>
    <w:basedOn w:val="DefaultParagraphFont"/>
    <w:qFormat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qFormat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qFormat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font11">
    <w:name w:val="font11"/>
    <w:basedOn w:val="DefaultParagraphFont"/>
    <w:qFormat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1716</Characters>
  <Application>Microsoft Office Word</Application>
  <DocSecurity>0</DocSecurity>
  <Lines>14</Lines>
  <Paragraphs>4</Paragraphs>
  <ScaleCrop>false</ScaleCrop>
  <Company>HP Inc.</Company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Apoptosis</dc:creator>
  <cp:lastModifiedBy>Kalyana Sundaram T.V</cp:lastModifiedBy>
  <cp:revision>2</cp:revision>
  <dcterms:created xsi:type="dcterms:W3CDTF">2021-03-20T09:40:00Z</dcterms:created>
  <dcterms:modified xsi:type="dcterms:W3CDTF">2021-08-26T14:14:00Z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