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DC" w:rsidRPr="004F13CB" w:rsidRDefault="004F13CB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Additional file 1</w:t>
      </w:r>
    </w:p>
    <w:p w:rsidR="00D220DC" w:rsidRPr="004F13CB" w:rsidRDefault="00D220DC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D220DC" w:rsidRPr="004F13CB" w:rsidRDefault="004F13CB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4F13CB">
        <w:rPr>
          <w:rFonts w:ascii="Times New Roman" w:hAnsi="Times New Roman" w:cs="Times New Roman"/>
          <w:color w:val="000000" w:themeColor="text1"/>
          <w:sz w:val="24"/>
        </w:rPr>
        <w:t xml:space="preserve">Li et al. </w:t>
      </w:r>
      <w:r w:rsidRPr="004F13CB">
        <w:rPr>
          <w:rFonts w:ascii="Times New Roman" w:hAnsi="Times New Roman" w:cs="Times New Roman" w:hint="eastAsia"/>
          <w:color w:val="000000" w:themeColor="text1"/>
          <w:sz w:val="24"/>
        </w:rPr>
        <w:t>A novel inflammatory biomarker, high-sensitive C-reactive</w:t>
      </w:r>
      <w:r w:rsidRPr="004F13C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4F13CB">
        <w:rPr>
          <w:rFonts w:ascii="Times New Roman" w:hAnsi="Times New Roman" w:cs="Times New Roman" w:hint="eastAsia"/>
          <w:color w:val="000000" w:themeColor="text1"/>
          <w:sz w:val="24"/>
        </w:rPr>
        <w:t>protein-to-albumin ratio, is associated with 5-year outcomes in patients with type 2 diabetes who undergo percutaneous coronary intervention</w:t>
      </w:r>
      <w:r w:rsidRPr="004F13CB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D220DC" w:rsidRPr="004F13CB" w:rsidRDefault="00D220D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D220DC" w:rsidRPr="004F13CB" w:rsidRDefault="004F13C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Contents </w:t>
      </w:r>
    </w:p>
    <w:p w:rsidR="00D220DC" w:rsidRPr="004F13CB" w:rsidRDefault="004F13C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1. </w:t>
      </w:r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Correlation analysis between </w:t>
      </w:r>
      <w:proofErr w:type="spellStart"/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>hs</w:t>
      </w:r>
      <w:proofErr w:type="spellEnd"/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>-CRP and albumin</w:t>
      </w:r>
    </w:p>
    <w:p w:rsidR="00D220DC" w:rsidRPr="004F13CB" w:rsidRDefault="004F13C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able </w:t>
      </w: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S1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4F13CB">
        <w:rPr>
          <w:rFonts w:ascii="Times New Roman" w:hAnsi="Times New Roman" w:cs="Times New Roman"/>
          <w:bCs/>
          <w:color w:val="000000" w:themeColor="text1"/>
          <w:sz w:val="24"/>
        </w:rPr>
        <w:t>Propensity score-matched analysis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D220DC" w:rsidRPr="004F13CB" w:rsidRDefault="004F13C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1. </w:t>
      </w:r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Correlation analysis between </w:t>
      </w:r>
      <w:proofErr w:type="spellStart"/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>hs</w:t>
      </w:r>
      <w:proofErr w:type="spellEnd"/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>-CRP and albumin</w:t>
      </w:r>
    </w:p>
    <w:p w:rsidR="00D220DC" w:rsidRPr="004F13CB" w:rsidRDefault="004F13CB">
      <w:pPr>
        <w:spacing w:line="480" w:lineRule="auto"/>
        <w:rPr>
          <w:color w:val="000000" w:themeColor="text1"/>
          <w:sz w:val="24"/>
          <w:szCs w:val="28"/>
        </w:rPr>
      </w:pPr>
      <w:r w:rsidRPr="004F13CB">
        <w:rPr>
          <w:noProof/>
          <w:color w:val="000000" w:themeColor="text1"/>
          <w:sz w:val="24"/>
          <w:szCs w:val="28"/>
          <w:lang w:eastAsia="en-US"/>
        </w:rPr>
        <w:drawing>
          <wp:inline distT="0" distB="0" distL="0" distR="0">
            <wp:extent cx="3773805" cy="270446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008" cy="271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20DC" w:rsidRPr="004F13CB" w:rsidRDefault="004F13C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proofErr w:type="spellStart"/>
      <w:proofErr w:type="gramStart"/>
      <w:r w:rsidRPr="004F13CB">
        <w:rPr>
          <w:rFonts w:ascii="Times New Roman" w:hAnsi="Times New Roman" w:cs="Times New Roman"/>
          <w:bCs/>
          <w:color w:val="000000" w:themeColor="text1"/>
          <w:sz w:val="24"/>
        </w:rPr>
        <w:t>hs</w:t>
      </w:r>
      <w:proofErr w:type="spellEnd"/>
      <w:r w:rsidRPr="004F13CB">
        <w:rPr>
          <w:rFonts w:ascii="Times New Roman" w:hAnsi="Times New Roman" w:cs="Times New Roman"/>
          <w:bCs/>
          <w:color w:val="000000" w:themeColor="text1"/>
          <w:sz w:val="24"/>
        </w:rPr>
        <w:t>-CRP</w:t>
      </w:r>
      <w:proofErr w:type="gramEnd"/>
      <w:r w:rsidRPr="004F13CB">
        <w:rPr>
          <w:rFonts w:ascii="Times New Roman" w:hAnsi="Times New Roman" w:cs="Times New Roman"/>
          <w:bCs/>
          <w:color w:val="000000" w:themeColor="text1"/>
          <w:sz w:val="24"/>
        </w:rPr>
        <w:t>: high-sensitivity C reactive protein.</w:t>
      </w:r>
    </w:p>
    <w:p w:rsidR="00D220DC" w:rsidRPr="004F13CB" w:rsidRDefault="004F13C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br w:type="page"/>
      </w:r>
    </w:p>
    <w:p w:rsidR="00D220DC" w:rsidRPr="004F13CB" w:rsidRDefault="004F13C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able </w:t>
      </w:r>
      <w:r w:rsidRPr="004F13CB">
        <w:rPr>
          <w:rFonts w:ascii="Times New Roman" w:hAnsi="Times New Roman" w:cs="Times New Roman" w:hint="eastAsia"/>
          <w:b/>
          <w:color w:val="000000" w:themeColor="text1"/>
          <w:sz w:val="24"/>
        </w:rPr>
        <w:t>S1</w:t>
      </w:r>
      <w:r w:rsidRPr="004F13CB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4F13CB">
        <w:rPr>
          <w:rFonts w:ascii="Times New Roman" w:hAnsi="Times New Roman" w:cs="Times New Roman"/>
          <w:bCs/>
          <w:color w:val="000000" w:themeColor="text1"/>
          <w:sz w:val="24"/>
        </w:rPr>
        <w:t>Propensity score-matched analysis</w:t>
      </w:r>
    </w:p>
    <w:tbl>
      <w:tblPr>
        <w:tblStyle w:val="TableGrid"/>
        <w:tblW w:w="723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802"/>
        <w:gridCol w:w="2234"/>
        <w:gridCol w:w="1052"/>
      </w:tblGrid>
      <w:tr w:rsidR="004F13CB" w:rsidRPr="004F13CB">
        <w:trPr>
          <w:trHeight w:val="320"/>
        </w:trPr>
        <w:tc>
          <w:tcPr>
            <w:tcW w:w="2142" w:type="dxa"/>
            <w:tcBorders>
              <w:top w:val="single" w:sz="12" w:space="0" w:color="auto"/>
              <w:bottom w:val="nil"/>
            </w:tcBorders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Outcomes</w:t>
            </w:r>
          </w:p>
        </w:tc>
        <w:tc>
          <w:tcPr>
            <w:tcW w:w="1802" w:type="dxa"/>
            <w:tcBorders>
              <w:top w:val="single" w:sz="12" w:space="0" w:color="auto"/>
              <w:bottom w:val="nil"/>
            </w:tcBorders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E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vents/subjects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4" w:space="0" w:color="auto"/>
            </w:tcBorders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H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R (95% CI)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4" w:space="0" w:color="auto"/>
            </w:tcBorders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Value</w:t>
            </w:r>
          </w:p>
        </w:tc>
      </w:tr>
      <w:tr w:rsidR="004F13CB" w:rsidRPr="004F13CB">
        <w:trPr>
          <w:trHeight w:val="530"/>
        </w:trPr>
        <w:tc>
          <w:tcPr>
            <w:tcW w:w="2142" w:type="dxa"/>
            <w:tcBorders>
              <w:top w:val="single" w:sz="4" w:space="0" w:color="auto"/>
            </w:tcBorders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All-cause mortality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99 (4.7)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1.484 (1.000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GB"/>
              </w:rPr>
              <w:t>–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2.201)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&lt;0.050</w:t>
            </w:r>
          </w:p>
        </w:tc>
      </w:tr>
      <w:tr w:rsidR="004F13CB" w:rsidRPr="004F13CB">
        <w:trPr>
          <w:trHeight w:val="464"/>
        </w:trPr>
        <w:tc>
          <w:tcPr>
            <w:tcW w:w="2142" w:type="dxa"/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Cardiac mortality</w:t>
            </w:r>
          </w:p>
        </w:tc>
        <w:tc>
          <w:tcPr>
            <w:tcW w:w="1802" w:type="dxa"/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56 (2.6)</w:t>
            </w:r>
          </w:p>
        </w:tc>
        <w:tc>
          <w:tcPr>
            <w:tcW w:w="2234" w:type="dxa"/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1.691 (1.001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  <w:lang w:val="en-GB"/>
              </w:rPr>
              <w:t>–</w:t>
            </w: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2.856)</w:t>
            </w:r>
          </w:p>
        </w:tc>
        <w:tc>
          <w:tcPr>
            <w:tcW w:w="1052" w:type="dxa"/>
            <w:vAlign w:val="center"/>
          </w:tcPr>
          <w:p w:rsidR="00D220DC" w:rsidRPr="004F13CB" w:rsidRDefault="004F13CB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F13C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&lt;0.050</w:t>
            </w:r>
          </w:p>
        </w:tc>
      </w:tr>
    </w:tbl>
    <w:p w:rsidR="00D220DC" w:rsidRPr="004F13CB" w:rsidRDefault="004F13C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F13CB">
        <w:rPr>
          <w:rFonts w:ascii="Times New Roman" w:hAnsi="Times New Roman" w:cs="Times New Roman" w:hint="eastAsia"/>
          <w:bCs/>
          <w:color w:val="000000" w:themeColor="text1"/>
          <w:sz w:val="24"/>
        </w:rPr>
        <w:t>HR: hazard ratio; CI: confidence interval.</w:t>
      </w:r>
    </w:p>
    <w:p w:rsidR="00D220DC" w:rsidRPr="004F13CB" w:rsidRDefault="00D220DC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</w:p>
    <w:sectPr w:rsidR="00D220DC" w:rsidRPr="004F13CB" w:rsidSect="004F1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4"/>
  <w:embedSystemFont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MDg3YmYyZDJkOWFkMDM4MGRkZmRkMDdiZGZjMWMifQ=="/>
  </w:docVars>
  <w:rsids>
    <w:rsidRoot w:val="0FB77221"/>
    <w:rsid w:val="004F13CB"/>
    <w:rsid w:val="00D220DC"/>
    <w:rsid w:val="0FB7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30950F-3095-4720-ADCC-7CF537E2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Jiawen Li</dc:creator>
  <cp:lastModifiedBy>Chandravadhana Ramesh</cp:lastModifiedBy>
  <cp:revision>2</cp:revision>
  <dcterms:created xsi:type="dcterms:W3CDTF">2022-12-01T09:38:00Z</dcterms:created>
  <dcterms:modified xsi:type="dcterms:W3CDTF">2022-12-29T06:12:00Z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1647C0EF37B040E6906F5AA57A8B89BE</vt:lpwstr>
  </property>
</Properties>
</file>