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1E41" w:rsidRPr="00831E41" w:rsidRDefault="00831E41" w:rsidP="00831E41">
      <w:pPr>
        <w:spacing w:line="360" w:lineRule="auto"/>
        <w:rPr>
          <w:rFonts w:ascii="Times New Roman" w:hAnsi="Times New Roman" w:hint="eastAsia"/>
          <w:b/>
          <w:bCs/>
          <w:sz w:val="24"/>
          <w:szCs w:val="24"/>
        </w:rPr>
      </w:pPr>
      <w:r w:rsidRPr="00831E41">
        <w:rPr>
          <w:rFonts w:ascii="Times New Roman" w:hAnsi="Times New Roman" w:hint="eastAsia"/>
          <w:b/>
          <w:bCs/>
          <w:sz w:val="24"/>
          <w:szCs w:val="24"/>
        </w:rPr>
        <w:t xml:space="preserve">Figure </w:t>
      </w:r>
      <w:r w:rsidR="003A2662">
        <w:rPr>
          <w:rFonts w:ascii="Times New Roman" w:hAnsi="Times New Roman"/>
          <w:b/>
          <w:bCs/>
          <w:sz w:val="24"/>
          <w:szCs w:val="24"/>
        </w:rPr>
        <w:t>2</w:t>
      </w:r>
      <w:r w:rsidRPr="00831E41">
        <w:rPr>
          <w:rFonts w:ascii="Times New Roman" w:hAnsi="Times New Roman" w:hint="eastAsia"/>
          <w:b/>
          <w:bCs/>
          <w:sz w:val="24"/>
          <w:szCs w:val="24"/>
        </w:rPr>
        <w:t>.</w:t>
      </w:r>
      <w:r w:rsidR="003A2662" w:rsidRPr="003A2662">
        <w:t xml:space="preserve"> </w:t>
      </w:r>
      <w:r w:rsidR="003A2662" w:rsidRPr="003A2662">
        <w:rPr>
          <w:rFonts w:ascii="Times New Roman" w:hAnsi="Times New Roman"/>
          <w:b/>
          <w:bCs/>
          <w:sz w:val="24"/>
          <w:szCs w:val="24"/>
        </w:rPr>
        <w:t>Estimated Density of The Propensity Scores Before and After Propensity Scores Matched.</w:t>
      </w:r>
    </w:p>
    <w:p w:rsidR="00900971" w:rsidRDefault="003A2662">
      <w:r>
        <w:rPr>
          <w:noProof/>
        </w:rPr>
        <w:drawing>
          <wp:inline distT="0" distB="0" distL="0" distR="0" wp14:anchorId="66278E2F" wp14:editId="6821FE5A">
            <wp:extent cx="5274310" cy="20618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662" w:rsidRDefault="003A2662" w:rsidP="003A266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Figure 2A. Estimated Density of The Propensity Scores Before Propensity Scores Matched.</w:t>
      </w:r>
    </w:p>
    <w:p w:rsidR="00831E41" w:rsidRPr="003A2662" w:rsidRDefault="003A2662" w:rsidP="003A2662"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Figure 2B. Estimated Density of The Propensity Scores After Propensity Scores Matched.</w:t>
      </w:r>
    </w:p>
    <w:sectPr w:rsidR="00831E41" w:rsidRPr="003A26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41"/>
    <w:rsid w:val="003A2662"/>
    <w:rsid w:val="00831E41"/>
    <w:rsid w:val="0090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05D8"/>
  <w15:chartTrackingRefBased/>
  <w15:docId w15:val="{EC2B6A2C-D833-4FFC-A747-A78DB8C9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41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873473234@qq.com</dc:creator>
  <cp:keywords/>
  <dc:description/>
  <cp:lastModifiedBy>873473234@qq.com</cp:lastModifiedBy>
  <cp:revision>2</cp:revision>
  <dcterms:created xsi:type="dcterms:W3CDTF">2023-01-14T13:35:00Z</dcterms:created>
  <dcterms:modified xsi:type="dcterms:W3CDTF">2023-01-14T13:35:00Z</dcterms:modified>
</cp:coreProperties>
</file>