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rtl w:val="0"/>
        </w:rPr>
        <w:t>Supplementary</w:t>
      </w:r>
      <w:r>
        <w:rPr>
          <w:rFonts w:hint="default" w:ascii="Times New Roman" w:hAnsi="Times New Roman" w:cs="Times New Roman"/>
          <w:b/>
          <w:bCs/>
          <w:sz w:val="20"/>
          <w:szCs w:val="20"/>
          <w:rtl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Table 1.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Weighted multiple logistic regression analysis of the effect of obesity index on the prevalence of hyperuricemia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urate&gt;7mg/dL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.</w:t>
      </w:r>
    </w:p>
    <w:tbl>
      <w:tblPr>
        <w:tblStyle w:val="4"/>
        <w:tblW w:w="0" w:type="auto"/>
        <w:tblInd w:w="98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016"/>
        <w:gridCol w:w="2016"/>
        <w:gridCol w:w="2016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0" w:type="auto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Characteristic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Model 1 OR(95%CI)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Model 2 OR(95%CI)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Model 3 OR(95%CI)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1.09 (1.0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single" w:color="000000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1.08 (1.08, 1.09)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WWI Index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 (1.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(1.7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1.9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(1.64, 1.8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BRI Index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1.2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(1.2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1.26 (1.2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1.28)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rtl w:val="0"/>
          <w:lang w:val="en-US" w:eastAsia="zh-CN"/>
        </w:rPr>
        <w:t>Model 1 was adjusted for no covariates;</w:t>
      </w:r>
    </w:p>
    <w:p>
      <w:pPr>
        <w:spacing w:line="480" w:lineRule="auto"/>
        <w:rPr>
          <w:rFonts w:hint="default" w:ascii="Times New Roman" w:hAnsi="Times New Roman" w:cs="Times New Roman"/>
          <w:sz w:val="16"/>
          <w:szCs w:val="16"/>
          <w:rtl w:val="0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rtl w:val="0"/>
          <w:lang w:val="en-US" w:eastAsia="zh-CN"/>
        </w:rPr>
        <w:t>Model 2 was adjusted for age,gender,race,marital status and education;</w:t>
      </w:r>
    </w:p>
    <w:p>
      <w:pPr>
        <w:spacing w:line="480" w:lineRule="auto"/>
        <w:rPr>
          <w:rFonts w:hint="default" w:ascii="Times New Roman" w:hAnsi="Times New Roman" w:cs="Times New Roman"/>
          <w:sz w:val="16"/>
          <w:szCs w:val="16"/>
          <w:rtl w:val="0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rtl w:val="0"/>
          <w:lang w:val="en-US" w:eastAsia="zh-CN"/>
        </w:rPr>
        <w:t>Model3 was adjusted for covariates in Model 2+diabetes,blood pressure,PIR,total water,total kcal,total sugar,total fat,smoked,physical activity,alcohol use,serum cholesterol,kidney stone,coronary artery disease,serum glucose,asthma,serum triglycerides and cancers were adjusted.</w:t>
      </w:r>
    </w:p>
    <w:p>
      <w:pPr>
        <w:spacing w:line="480" w:lineRule="auto"/>
        <w:rPr>
          <w:rFonts w:hint="default" w:ascii="Times New Roman" w:hAnsi="Times New Roman" w:cs="Times New Roman"/>
          <w:sz w:val="16"/>
          <w:szCs w:val="16"/>
          <w:rtl w:val="0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rtl w:val="0"/>
          <w:lang w:val="en-US" w:eastAsia="zh-CN"/>
        </w:rPr>
        <w:t xml:space="preserve">BMI: body mass index; BRI: body roundness index; WWI: weigh adjusted waist index; </w:t>
      </w: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Yzg4NGQ3ODgyNDEwYTMxOGM0MTJhNTU3MGI5YTkifQ=="/>
  </w:docVars>
  <w:rsids>
    <w:rsidRoot w:val="714B02E3"/>
    <w:rsid w:val="714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2024-01-09T10:50:00Z</dcterms:created>
  <dc:creator>棒槌</dc:creator>
  <cp:lastModifiedBy>棒槌</cp:lastModifiedBy>
  <dcterms:modified xsi:type="dcterms:W3CDTF">2024-01-09T10:53:14Z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26F9DE208E104016AE0CDF9F05C96B49_11</vt:lpwstr>
  </property>
</Properties>
</file>