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22389" w14:textId="7160EF51" w:rsidR="00DC1F57" w:rsidRPr="003521E9" w:rsidRDefault="00BA241C" w:rsidP="00C26C62">
      <w:pPr>
        <w:spacing w:line="480" w:lineRule="auto"/>
        <w:rPr>
          <w:rFonts w:asciiTheme="majorBidi" w:hAnsiTheme="majorBidi" w:cstheme="majorBidi"/>
          <w:b/>
          <w:bCs/>
          <w:sz w:val="24"/>
          <w:szCs w:val="24"/>
          <w:lang w:val="en-GB"/>
        </w:rPr>
      </w:pPr>
      <w:r w:rsidRPr="003521E9">
        <w:rPr>
          <w:rFonts w:asciiTheme="majorBidi" w:hAnsiTheme="majorBidi" w:cstheme="majorBidi"/>
          <w:b/>
          <w:bCs/>
          <w:sz w:val="24"/>
          <w:szCs w:val="24"/>
          <w:lang w:val="en-GB"/>
        </w:rPr>
        <w:t>Contents:</w:t>
      </w:r>
    </w:p>
    <w:p w14:paraId="2EC9D7FC" w14:textId="775E0894" w:rsidR="00DC1F57" w:rsidRPr="003521E9" w:rsidRDefault="00DC1F57" w:rsidP="00C26C62">
      <w:pPr>
        <w:spacing w:line="480" w:lineRule="auto"/>
        <w:rPr>
          <w:rFonts w:asciiTheme="majorBidi" w:hAnsiTheme="majorBidi" w:cstheme="majorBidi"/>
          <w:sz w:val="24"/>
          <w:szCs w:val="24"/>
          <w:lang w:val="en-GB"/>
        </w:rPr>
      </w:pPr>
      <w:r w:rsidRPr="003521E9">
        <w:rPr>
          <w:rFonts w:asciiTheme="majorBidi" w:hAnsiTheme="majorBidi" w:cstheme="majorBidi"/>
          <w:b/>
          <w:bCs/>
          <w:sz w:val="24"/>
          <w:szCs w:val="24"/>
          <w:lang w:val="en-GB"/>
        </w:rPr>
        <w:t>Table S1</w:t>
      </w:r>
      <w:r w:rsidR="0043705D" w:rsidRPr="003521E9">
        <w:rPr>
          <w:rFonts w:asciiTheme="majorBidi" w:hAnsiTheme="majorBidi" w:cstheme="majorBidi"/>
          <w:b/>
          <w:bCs/>
          <w:sz w:val="24"/>
          <w:szCs w:val="24"/>
          <w:lang w:val="en-GB"/>
        </w:rPr>
        <w:t>.</w:t>
      </w:r>
      <w:r w:rsidRPr="003521E9">
        <w:rPr>
          <w:rFonts w:asciiTheme="majorBidi" w:hAnsiTheme="majorBidi" w:cstheme="majorBidi"/>
          <w:sz w:val="24"/>
          <w:szCs w:val="24"/>
          <w:lang w:val="en-GB"/>
        </w:rPr>
        <w:t xml:space="preserve"> Full search strategy for each database.</w:t>
      </w:r>
    </w:p>
    <w:p w14:paraId="2DAB5433" w14:textId="0DD27A4E" w:rsidR="0043705D" w:rsidRDefault="0043705D" w:rsidP="00C26C62">
      <w:pPr>
        <w:spacing w:line="480" w:lineRule="auto"/>
        <w:rPr>
          <w:rFonts w:asciiTheme="majorBidi" w:hAnsiTheme="majorBidi" w:cstheme="majorBidi"/>
          <w:sz w:val="24"/>
          <w:szCs w:val="24"/>
          <w:lang w:val="en-GB"/>
        </w:rPr>
      </w:pPr>
      <w:r w:rsidRPr="003521E9">
        <w:rPr>
          <w:rFonts w:asciiTheme="majorBidi" w:hAnsiTheme="majorBidi" w:cstheme="majorBidi"/>
          <w:b/>
          <w:bCs/>
          <w:sz w:val="24"/>
          <w:szCs w:val="24"/>
          <w:lang w:val="en-GB"/>
        </w:rPr>
        <w:t>Table S2.</w:t>
      </w:r>
      <w:r w:rsidRPr="003521E9">
        <w:rPr>
          <w:rFonts w:asciiTheme="majorBidi" w:hAnsiTheme="majorBidi" w:cstheme="majorBidi"/>
          <w:sz w:val="24"/>
          <w:szCs w:val="24"/>
          <w:lang w:val="en-GB"/>
        </w:rPr>
        <w:t xml:space="preserve"> </w:t>
      </w:r>
      <w:r w:rsidR="000A1862" w:rsidRPr="003521E9">
        <w:rPr>
          <w:rFonts w:asciiTheme="majorBidi" w:hAnsiTheme="majorBidi" w:cstheme="majorBidi"/>
          <w:sz w:val="24"/>
          <w:szCs w:val="24"/>
          <w:lang w:val="en-GB"/>
        </w:rPr>
        <w:t>The inclusion and exclusion criteria of the included studies</w:t>
      </w:r>
      <w:r w:rsidR="008556D7">
        <w:rPr>
          <w:rFonts w:asciiTheme="majorBidi" w:hAnsiTheme="majorBidi" w:cstheme="majorBidi"/>
          <w:sz w:val="24"/>
          <w:szCs w:val="24"/>
          <w:lang w:val="en-GB"/>
        </w:rPr>
        <w:t>.</w:t>
      </w:r>
    </w:p>
    <w:p w14:paraId="5EAAC924" w14:textId="041F37E6" w:rsidR="00E70F59" w:rsidRPr="00E70F59" w:rsidRDefault="00E70F59" w:rsidP="00C26C62">
      <w:pPr>
        <w:spacing w:line="480" w:lineRule="auto"/>
        <w:rPr>
          <w:rFonts w:asciiTheme="majorBidi" w:hAnsiTheme="majorBidi" w:cstheme="majorBidi"/>
          <w:sz w:val="24"/>
          <w:szCs w:val="24"/>
          <w:lang w:val="en"/>
        </w:rPr>
      </w:pPr>
      <w:r w:rsidRPr="00E70F59">
        <w:rPr>
          <w:rFonts w:asciiTheme="majorBidi" w:hAnsiTheme="majorBidi" w:cstheme="majorBidi"/>
          <w:b/>
          <w:bCs/>
          <w:sz w:val="24"/>
          <w:szCs w:val="24"/>
          <w:lang w:val="en"/>
        </w:rPr>
        <w:t>Table S3.</w:t>
      </w:r>
      <w:r w:rsidRPr="00E70F59">
        <w:rPr>
          <w:rFonts w:asciiTheme="majorBidi" w:hAnsiTheme="majorBidi" w:cstheme="majorBidi"/>
          <w:sz w:val="24"/>
          <w:szCs w:val="24"/>
          <w:lang w:val="en"/>
        </w:rPr>
        <w:t xml:space="preserve"> Quality assessment of the outcomes using GRADE criteria</w:t>
      </w:r>
    </w:p>
    <w:p w14:paraId="3999C586" w14:textId="71C20169" w:rsidR="0081172B" w:rsidRPr="003521E9" w:rsidRDefault="00C26C62" w:rsidP="0081172B">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S1</w:t>
      </w:r>
      <w:r w:rsidR="0043705D" w:rsidRPr="003521E9">
        <w:rPr>
          <w:rFonts w:asciiTheme="majorBidi" w:hAnsiTheme="majorBidi" w:cstheme="majorBidi"/>
          <w:b/>
          <w:bCs/>
          <w:sz w:val="24"/>
          <w:szCs w:val="24"/>
        </w:rPr>
        <w:t>.</w:t>
      </w:r>
      <w:r w:rsidRPr="003521E9">
        <w:rPr>
          <w:rFonts w:asciiTheme="majorBidi" w:hAnsiTheme="majorBidi" w:cstheme="majorBidi"/>
          <w:sz w:val="24"/>
          <w:szCs w:val="24"/>
        </w:rPr>
        <w:t xml:space="preserve"> </w:t>
      </w:r>
      <w:r w:rsidR="0081172B" w:rsidRPr="003521E9">
        <w:rPr>
          <w:rFonts w:asciiTheme="majorBidi" w:hAnsiTheme="majorBidi" w:cstheme="majorBidi"/>
          <w:sz w:val="24"/>
          <w:szCs w:val="24"/>
        </w:rPr>
        <w:t>The effect of the different doses of the different GLP-1RAs on the incidence of prediabetes reversion to normoglycemia</w:t>
      </w:r>
      <w:r w:rsidR="008556D7">
        <w:rPr>
          <w:rFonts w:asciiTheme="majorBidi" w:hAnsiTheme="majorBidi" w:cstheme="majorBidi"/>
          <w:sz w:val="24"/>
          <w:szCs w:val="24"/>
        </w:rPr>
        <w:t>.</w:t>
      </w:r>
    </w:p>
    <w:p w14:paraId="43762554" w14:textId="1AF093BC" w:rsidR="008556D7" w:rsidRPr="008556D7" w:rsidRDefault="008556D7" w:rsidP="008556D7">
      <w:pPr>
        <w:spacing w:line="480" w:lineRule="auto"/>
        <w:rPr>
          <w:rFonts w:asciiTheme="majorBidi" w:hAnsiTheme="majorBidi" w:cstheme="majorBidi"/>
          <w:b/>
          <w:bCs/>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2</w:t>
      </w:r>
      <w:r w:rsidRPr="003521E9">
        <w:rPr>
          <w:rFonts w:asciiTheme="majorBidi" w:hAnsiTheme="majorBidi" w:cstheme="majorBidi"/>
          <w:b/>
          <w:bCs/>
          <w:sz w:val="24"/>
          <w:szCs w:val="24"/>
        </w:rPr>
        <w:t>.</w:t>
      </w:r>
      <w:r w:rsidRPr="008556D7">
        <w:rPr>
          <w:rFonts w:asciiTheme="majorBidi" w:hAnsiTheme="majorBidi" w:cstheme="majorBidi"/>
          <w:b/>
          <w:bCs/>
          <w:sz w:val="24"/>
          <w:szCs w:val="24"/>
        </w:rPr>
        <w:t xml:space="preserve"> </w:t>
      </w:r>
      <w:r w:rsidRPr="008556D7">
        <w:rPr>
          <w:rFonts w:asciiTheme="majorBidi" w:hAnsiTheme="majorBidi" w:cstheme="majorBidi"/>
          <w:sz w:val="24"/>
          <w:szCs w:val="24"/>
        </w:rPr>
        <w:t>Trial sequential analysis</w:t>
      </w:r>
      <w:r>
        <w:rPr>
          <w:rFonts w:asciiTheme="majorBidi" w:hAnsiTheme="majorBidi" w:cstheme="majorBidi"/>
          <w:sz w:val="24"/>
          <w:szCs w:val="24"/>
        </w:rPr>
        <w:t xml:space="preserve"> of t</w:t>
      </w:r>
      <w:r w:rsidRPr="008556D7">
        <w:rPr>
          <w:rFonts w:asciiTheme="majorBidi" w:hAnsiTheme="majorBidi" w:cstheme="majorBidi"/>
          <w:sz w:val="24"/>
          <w:szCs w:val="24"/>
        </w:rPr>
        <w:t>he incidence of prediabetes reversion to normoglycemia</w:t>
      </w:r>
      <w:r>
        <w:rPr>
          <w:rFonts w:asciiTheme="majorBidi" w:hAnsiTheme="majorBidi" w:cstheme="majorBidi"/>
          <w:sz w:val="24"/>
          <w:szCs w:val="24"/>
        </w:rPr>
        <w:t>.</w:t>
      </w:r>
      <w:r w:rsidRPr="008556D7">
        <w:rPr>
          <w:rFonts w:asciiTheme="majorBidi" w:hAnsiTheme="majorBidi" w:cstheme="majorBidi"/>
          <w:b/>
          <w:bCs/>
          <w:sz w:val="24"/>
          <w:szCs w:val="24"/>
        </w:rPr>
        <w:t xml:space="preserve"> </w:t>
      </w:r>
    </w:p>
    <w:p w14:paraId="2CDBD5CD" w14:textId="38B88C71" w:rsidR="008556D7" w:rsidRDefault="008556D7" w:rsidP="0081172B">
      <w:pPr>
        <w:suppressLineNumbers/>
        <w:spacing w:line="480" w:lineRule="auto"/>
        <w:rPr>
          <w:rFonts w:asciiTheme="majorBidi" w:hAnsiTheme="majorBidi" w:cstheme="majorBidi"/>
          <w:b/>
          <w:bCs/>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3</w:t>
      </w:r>
      <w:r w:rsidRPr="003521E9">
        <w:rPr>
          <w:rFonts w:asciiTheme="majorBidi" w:hAnsiTheme="majorBidi" w:cstheme="majorBidi"/>
          <w:b/>
          <w:bCs/>
          <w:sz w:val="24"/>
          <w:szCs w:val="24"/>
        </w:rPr>
        <w:t>.</w:t>
      </w:r>
      <w:r w:rsidRPr="008556D7">
        <w:rPr>
          <w:rFonts w:asciiTheme="majorBidi" w:hAnsiTheme="majorBidi" w:cstheme="majorBidi"/>
          <w:sz w:val="24"/>
          <w:szCs w:val="24"/>
        </w:rPr>
        <w:t xml:space="preserve"> Trial sequential analysis</w:t>
      </w:r>
      <w:r>
        <w:rPr>
          <w:rFonts w:asciiTheme="majorBidi" w:hAnsiTheme="majorBidi" w:cstheme="majorBidi"/>
          <w:sz w:val="24"/>
          <w:szCs w:val="24"/>
        </w:rPr>
        <w:t xml:space="preserve"> of</w:t>
      </w:r>
      <w:r w:rsidRPr="008556D7">
        <w:t xml:space="preserve"> </w:t>
      </w:r>
      <w:r>
        <w:rPr>
          <w:rFonts w:asciiTheme="majorBidi" w:hAnsiTheme="majorBidi" w:cstheme="majorBidi"/>
          <w:sz w:val="24"/>
          <w:szCs w:val="24"/>
        </w:rPr>
        <w:t>t</w:t>
      </w:r>
      <w:r w:rsidRPr="008556D7">
        <w:rPr>
          <w:rFonts w:asciiTheme="majorBidi" w:hAnsiTheme="majorBidi" w:cstheme="majorBidi"/>
          <w:sz w:val="24"/>
          <w:szCs w:val="24"/>
        </w:rPr>
        <w:t>he incidence of new-onset diabetes</w:t>
      </w:r>
      <w:r>
        <w:rPr>
          <w:rFonts w:asciiTheme="majorBidi" w:hAnsiTheme="majorBidi" w:cstheme="majorBidi"/>
          <w:sz w:val="24"/>
          <w:szCs w:val="24"/>
        </w:rPr>
        <w:t>.</w:t>
      </w:r>
    </w:p>
    <w:p w14:paraId="740721D6" w14:textId="6964126B" w:rsidR="00CC6BAE" w:rsidRDefault="00BA241C" w:rsidP="0052545E">
      <w:pPr>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sidR="008556D7">
        <w:rPr>
          <w:rFonts w:asciiTheme="majorBidi" w:hAnsiTheme="majorBidi" w:cstheme="majorBidi"/>
          <w:b/>
          <w:bCs/>
          <w:sz w:val="24"/>
          <w:szCs w:val="24"/>
        </w:rPr>
        <w:t>4</w:t>
      </w:r>
      <w:r w:rsidR="0043705D" w:rsidRPr="003521E9">
        <w:rPr>
          <w:rFonts w:asciiTheme="majorBidi" w:hAnsiTheme="majorBidi" w:cstheme="majorBidi"/>
          <w:b/>
          <w:bCs/>
          <w:sz w:val="24"/>
          <w:szCs w:val="24"/>
        </w:rPr>
        <w:t>.</w:t>
      </w:r>
      <w:r w:rsidRPr="003521E9">
        <w:rPr>
          <w:rFonts w:asciiTheme="majorBidi" w:hAnsiTheme="majorBidi" w:cstheme="majorBidi"/>
          <w:sz w:val="24"/>
          <w:szCs w:val="24"/>
        </w:rPr>
        <w:t xml:space="preserve"> </w:t>
      </w:r>
      <w:r w:rsidR="009C3A9D" w:rsidRPr="003521E9">
        <w:rPr>
          <w:rFonts w:asciiTheme="majorBidi" w:hAnsiTheme="majorBidi" w:cstheme="majorBidi"/>
          <w:sz w:val="24"/>
          <w:szCs w:val="24"/>
        </w:rPr>
        <w:t>Funnel plot of the publication bias</w:t>
      </w:r>
      <w:r w:rsidR="0052545E">
        <w:rPr>
          <w:rFonts w:asciiTheme="majorBidi" w:hAnsiTheme="majorBidi" w:cstheme="majorBidi"/>
          <w:sz w:val="24"/>
          <w:szCs w:val="24"/>
        </w:rPr>
        <w:t xml:space="preserve"> of</w:t>
      </w:r>
      <w:r w:rsidR="0052545E" w:rsidRPr="0052545E">
        <w:rPr>
          <w:rFonts w:asciiTheme="majorBidi" w:hAnsiTheme="majorBidi" w:cstheme="majorBidi"/>
          <w:sz w:val="24"/>
          <w:szCs w:val="24"/>
        </w:rPr>
        <w:t xml:space="preserve"> prediabetes reversion to normoglycemia</w:t>
      </w:r>
      <w:r w:rsidR="008556D7">
        <w:rPr>
          <w:rFonts w:asciiTheme="majorBidi" w:hAnsiTheme="majorBidi" w:cstheme="majorBidi"/>
          <w:sz w:val="24"/>
          <w:szCs w:val="24"/>
        </w:rPr>
        <w:t>.</w:t>
      </w:r>
    </w:p>
    <w:p w14:paraId="4F1CC6A6" w14:textId="46850080" w:rsidR="0052545E" w:rsidRPr="0052545E" w:rsidRDefault="0052545E" w:rsidP="0052545E">
      <w:pPr>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5</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w:t>
      </w:r>
      <w:bookmarkStart w:id="0" w:name="_Hlk144960667"/>
      <w:r>
        <w:rPr>
          <w:rFonts w:asciiTheme="majorBidi" w:hAnsiTheme="majorBidi" w:cstheme="majorBidi"/>
          <w:sz w:val="24"/>
          <w:szCs w:val="24"/>
        </w:rPr>
        <w:t>of</w:t>
      </w:r>
      <w:r w:rsidRPr="0052545E">
        <w:rPr>
          <w:rFonts w:asciiTheme="majorBidi" w:hAnsiTheme="majorBidi" w:cstheme="majorBidi"/>
          <w:sz w:val="24"/>
          <w:szCs w:val="24"/>
        </w:rPr>
        <w:t xml:space="preserve"> new-onset</w:t>
      </w:r>
      <w:bookmarkEnd w:id="0"/>
      <w:r w:rsidRPr="0052545E">
        <w:rPr>
          <w:rFonts w:asciiTheme="majorBidi" w:hAnsiTheme="majorBidi" w:cstheme="majorBidi"/>
          <w:sz w:val="24"/>
          <w:szCs w:val="24"/>
        </w:rPr>
        <w:t xml:space="preserve"> diabetes</w:t>
      </w:r>
      <w:r>
        <w:rPr>
          <w:rFonts w:asciiTheme="majorBidi" w:hAnsiTheme="majorBidi" w:cstheme="majorBidi"/>
          <w:sz w:val="24"/>
          <w:szCs w:val="24"/>
        </w:rPr>
        <w:t>.</w:t>
      </w:r>
    </w:p>
    <w:p w14:paraId="452D2C9D" w14:textId="73C98F4E"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6</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FPG.</w:t>
      </w:r>
    </w:p>
    <w:p w14:paraId="36166CB5" w14:textId="6BDB1279"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7</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HbA1c.</w:t>
      </w:r>
    </w:p>
    <w:p w14:paraId="08823037" w14:textId="3FFC4ABB"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8</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triglycerides.</w:t>
      </w:r>
    </w:p>
    <w:p w14:paraId="4DBC0F30" w14:textId="55266DD6"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9</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LDL.</w:t>
      </w:r>
    </w:p>
    <w:p w14:paraId="429F72BD" w14:textId="69814038"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10</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HDL.</w:t>
      </w:r>
    </w:p>
    <w:p w14:paraId="1CDA4EA3" w14:textId="6B6FED47"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11</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body weight change.</w:t>
      </w:r>
    </w:p>
    <w:p w14:paraId="304A0941" w14:textId="7FE01B93" w:rsidR="0052545E" w:rsidRDefault="0052545E" w:rsidP="0052545E">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12</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w:t>
      </w:r>
      <w:r w:rsidR="005D287F">
        <w:rPr>
          <w:rFonts w:asciiTheme="majorBidi" w:hAnsiTheme="majorBidi" w:cstheme="majorBidi"/>
          <w:sz w:val="24"/>
          <w:szCs w:val="24"/>
        </w:rPr>
        <w:t>waist circumference</w:t>
      </w:r>
      <w:r>
        <w:rPr>
          <w:rFonts w:asciiTheme="majorBidi" w:hAnsiTheme="majorBidi" w:cstheme="majorBidi"/>
          <w:sz w:val="24"/>
          <w:szCs w:val="24"/>
        </w:rPr>
        <w:t xml:space="preserve"> change.</w:t>
      </w:r>
    </w:p>
    <w:p w14:paraId="71155D2C" w14:textId="5295892B" w:rsidR="0052545E" w:rsidRPr="008556D7" w:rsidRDefault="0052545E" w:rsidP="0052545E">
      <w:pPr>
        <w:suppressLineNumbers/>
        <w:spacing w:line="480" w:lineRule="auto"/>
        <w:rPr>
          <w:rFonts w:asciiTheme="majorBidi" w:hAnsiTheme="majorBidi" w:cstheme="majorBidi"/>
          <w:sz w:val="24"/>
          <w:szCs w:val="24"/>
        </w:rPr>
        <w:sectPr w:rsidR="0052545E" w:rsidRPr="008556D7" w:rsidSect="00CC6BAE">
          <w:pgSz w:w="12240" w:h="15840" w:code="1"/>
          <w:pgMar w:top="1440" w:right="1440" w:bottom="1440" w:left="1440" w:header="720" w:footer="720" w:gutter="0"/>
          <w:cols w:space="720"/>
          <w:docGrid w:linePitch="360"/>
        </w:sectPr>
      </w:pPr>
    </w:p>
    <w:p w14:paraId="09B93388" w14:textId="49907FE5" w:rsidR="00DC1F57" w:rsidRPr="000A1862" w:rsidRDefault="00DC1F57" w:rsidP="00DC1F57">
      <w:pPr>
        <w:rPr>
          <w:rFonts w:asciiTheme="majorBidi" w:hAnsiTheme="majorBidi" w:cstheme="majorBidi"/>
        </w:rPr>
      </w:pPr>
    </w:p>
    <w:tbl>
      <w:tblPr>
        <w:tblpPr w:leftFromText="180" w:rightFromText="180" w:vertAnchor="text" w:horzAnchor="margin" w:tblpY="420"/>
        <w:tblW w:w="16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0"/>
        <w:gridCol w:w="12665"/>
        <w:gridCol w:w="1170"/>
        <w:gridCol w:w="990"/>
      </w:tblGrid>
      <w:tr w:rsidR="008936B9" w:rsidRPr="000A1862" w14:paraId="73137DEC" w14:textId="77777777" w:rsidTr="008936B9">
        <w:trPr>
          <w:trHeight w:val="567"/>
        </w:trPr>
        <w:tc>
          <w:tcPr>
            <w:tcW w:w="1190" w:type="dxa"/>
          </w:tcPr>
          <w:p w14:paraId="3D0CFC67"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Database</w:t>
            </w:r>
          </w:p>
        </w:tc>
        <w:tc>
          <w:tcPr>
            <w:tcW w:w="12665" w:type="dxa"/>
          </w:tcPr>
          <w:p w14:paraId="363BC094"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Search Terms</w:t>
            </w:r>
          </w:p>
        </w:tc>
        <w:tc>
          <w:tcPr>
            <w:tcW w:w="1170" w:type="dxa"/>
          </w:tcPr>
          <w:p w14:paraId="2D57BA58"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Search Field</w:t>
            </w:r>
          </w:p>
        </w:tc>
        <w:tc>
          <w:tcPr>
            <w:tcW w:w="990" w:type="dxa"/>
          </w:tcPr>
          <w:p w14:paraId="19948DE0"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Search Results</w:t>
            </w:r>
          </w:p>
        </w:tc>
      </w:tr>
      <w:tr w:rsidR="008936B9" w:rsidRPr="000A1862" w14:paraId="66B222EF" w14:textId="77777777" w:rsidTr="008936B9">
        <w:trPr>
          <w:trHeight w:val="567"/>
        </w:trPr>
        <w:tc>
          <w:tcPr>
            <w:tcW w:w="1190" w:type="dxa"/>
            <w:shd w:val="clear" w:color="auto" w:fill="auto"/>
          </w:tcPr>
          <w:p w14:paraId="4DD2C5BD"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PubMed</w:t>
            </w:r>
          </w:p>
        </w:tc>
        <w:tc>
          <w:tcPr>
            <w:tcW w:w="12665" w:type="dxa"/>
          </w:tcPr>
          <w:p w14:paraId="29F8B901" w14:textId="77777777" w:rsidR="008936B9" w:rsidRPr="000A1862" w:rsidRDefault="008936B9" w:rsidP="008936B9">
            <w:pPr>
              <w:rPr>
                <w:rFonts w:asciiTheme="majorBidi" w:eastAsia="Times New Roman" w:hAnsiTheme="majorBidi" w:cstheme="majorBidi"/>
                <w:color w:val="000000"/>
              </w:rPr>
            </w:pPr>
            <w:r w:rsidRPr="000A1862">
              <w:rPr>
                <w:rFonts w:asciiTheme="majorBidi" w:hAnsiTheme="majorBidi" w:cstheme="majorBidi"/>
              </w:rPr>
              <w:t xml:space="preserve">(("Glucagon Like Peptides"  OR  "Glucagon-Like Polypeptide"  OR  "Glucagon Like Polypeptide"  OR  "Polypeptide, Glucagon-Like"  OR  "Glucagon-Like Polypeptides"  OR  "Glucagon Like Polypeptides"  OR  "Glucagon-Like Peptide"  OR  "Glucagon Like Peptide"  OR  "Peptide, Glucagon-Like"  OR  enteroglucagons  OR  enteroglucagon  OR  "Gut Glucagon"  OR  "Glucagon, Gut"  OR  "Glucagon Like Peptide 1"  OR  glp-1  OR  "GLP 1"  OR  "Glucagon-Like Peptide-1"  OR  "Glucagon Like Peptide 2"  OR  "Proglucagon (126-158)"  OR  "Glucagon-Like Peptide-2 (1-33)"  OR  "Glucagon-Like Peptide-1 Receptor Agonist"  OR  "Dual GIP and GLP-1 Receptor Agonist" OR </w:t>
            </w:r>
            <w:r w:rsidRPr="000A1862">
              <w:rPr>
                <w:rFonts w:asciiTheme="majorBidi" w:eastAsia="Times New Roman" w:hAnsiTheme="majorBidi" w:cstheme="majorBidi"/>
                <w:color w:val="000000"/>
              </w:rPr>
              <w:t>Exenatide  OR  Bydureon  OR  "ITCA 650"  OR  "AC 2993 LAR"  OR  "Exendin-4"  OR  "Ex4 Peptide"  OR  "Peptide, Ex4"  OR  "Exendin 4"  OR  byetta  OR  "AC 2993"  OR  semaglutide  OR  rybelsus  OR  Ozempic  OR  dulaglutide  OR  "LY 2189265"  OR  "LY-2189265"  OR  ly2189265  OR  trulicity  OR  eperzan  OR  tanzeum  OR  albiglutide  OR  efpeglenatide  OR  "L-Proline, 1-(3-(2-(3-(((5S)-5-amino-5-carboxypentyl)amino)propoxy)ethoxy)propyl)"  OR  lixisenatide  OR  "DES-38-proline-exendine-4 (Heloderma suspectum)-(1-39)-peptidylpenta-l-lysyl-l-lysinamide"  OR  adlyxin  OR  "AQVE-10010"  OR  "ZP10A peptide"  OR  "ZP 10"  OR  "ZP-10"  OR  lyxumia  OR  "AVE 010"  OR  "AVE-010"  OR  "AVE 0010"  OR  ave0010  OR  ave-0010  OR  liraglutide  OR  victoza  OR  saxenda  OR  "NN 221"  OR  "2211, NN"  OR  nn2211  OR  nn-2211  OR  taspoglutide  OR  tirzepatide  OR  ly3298176) AND (</w:t>
            </w:r>
            <w:r w:rsidRPr="000A1862">
              <w:rPr>
                <w:rFonts w:asciiTheme="majorBidi" w:hAnsiTheme="majorBidi" w:cstheme="majorBidi"/>
              </w:rPr>
              <w:t>Obesity OR Obes* OR "</w:t>
            </w:r>
            <w:r w:rsidRPr="000A1862">
              <w:rPr>
                <w:rFonts w:asciiTheme="majorBidi" w:eastAsia="Times New Roman" w:hAnsiTheme="majorBidi" w:cstheme="majorBidi"/>
                <w:color w:val="000000"/>
              </w:rPr>
              <w:t>Prediabetic States</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 Prediabetic</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States, Prediabetic</w:t>
            </w:r>
            <w:r w:rsidRPr="000A1862">
              <w:rPr>
                <w:rFonts w:asciiTheme="majorBidi" w:hAnsiTheme="majorBidi" w:cstheme="majorBidi"/>
              </w:rPr>
              <w:t xml:space="preserve">" </w:t>
            </w:r>
            <w:r w:rsidRPr="000A1862">
              <w:rPr>
                <w:rFonts w:asciiTheme="majorBidi" w:eastAsia="Times New Roman" w:hAnsiTheme="majorBidi" w:cstheme="majorBidi"/>
                <w:color w:val="000000"/>
              </w:rPr>
              <w:t>OR Prediabetes OR Overweight) AND (trial))</w:t>
            </w:r>
          </w:p>
        </w:tc>
        <w:tc>
          <w:tcPr>
            <w:tcW w:w="1170" w:type="dxa"/>
          </w:tcPr>
          <w:p w14:paraId="45DE30EE"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All Fields</w:t>
            </w:r>
          </w:p>
        </w:tc>
        <w:tc>
          <w:tcPr>
            <w:tcW w:w="990" w:type="dxa"/>
          </w:tcPr>
          <w:p w14:paraId="780804EE"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2144</w:t>
            </w:r>
          </w:p>
        </w:tc>
      </w:tr>
      <w:tr w:rsidR="008936B9" w:rsidRPr="000A1862" w14:paraId="5F18160E" w14:textId="77777777" w:rsidTr="008936B9">
        <w:trPr>
          <w:trHeight w:val="567"/>
        </w:trPr>
        <w:tc>
          <w:tcPr>
            <w:tcW w:w="1190" w:type="dxa"/>
          </w:tcPr>
          <w:p w14:paraId="5AF30A0F"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Cochrane</w:t>
            </w:r>
          </w:p>
        </w:tc>
        <w:tc>
          <w:tcPr>
            <w:tcW w:w="12665" w:type="dxa"/>
          </w:tcPr>
          <w:p w14:paraId="38D5B61E" w14:textId="77777777" w:rsidR="008936B9" w:rsidRPr="000A1862" w:rsidRDefault="008936B9" w:rsidP="008936B9">
            <w:pPr>
              <w:rPr>
                <w:rFonts w:asciiTheme="majorBidi" w:eastAsia="Times New Roman" w:hAnsiTheme="majorBidi" w:cstheme="majorBidi"/>
                <w:color w:val="000000"/>
              </w:rPr>
            </w:pPr>
            <w:r w:rsidRPr="000A1862">
              <w:rPr>
                <w:rFonts w:asciiTheme="majorBidi" w:hAnsiTheme="majorBidi" w:cstheme="majorBidi"/>
              </w:rPr>
              <w:t xml:space="preserve">(("Glucagon Like Peptides"  OR  "Glucagon-Like Polypeptide"  OR  "Glucagon Like Polypeptide"  OR  "Polypeptide, Glucagon-Like"  OR  "Glucagon-Like Polypeptides"  OR  "Glucagon Like Polypeptides"  OR  "Glucagon-Like Peptide"  OR  "Glucagon Like Peptide"  OR  "Peptide, Glucagon-Like"  OR  enteroglucagons  OR  enteroglucagon  OR  "Gut Glucagon"  OR  "Glucagon, Gut"  OR  "Glucagon Like Peptide 1"  OR  glp-1  OR  "GLP 1"  OR  "Glucagon-Like Peptide-1"  OR  "Glucagon Like Peptide 2"  OR  "Proglucagon (126-158)"  OR  "Glucagon-Like Peptide-2 (1-33)"  OR  "Glucagon-Like Peptide-1 Receptor Agonist"  OR  "Dual GIP and GLP-1 Receptor Agonist" OR </w:t>
            </w:r>
            <w:r w:rsidRPr="000A1862">
              <w:rPr>
                <w:rFonts w:asciiTheme="majorBidi" w:eastAsia="Times New Roman" w:hAnsiTheme="majorBidi" w:cstheme="majorBidi"/>
                <w:color w:val="000000"/>
              </w:rPr>
              <w:t>Exenatide  OR  Bydureon  OR  "ITCA 650"  OR  "AC 2993 LAR"  OR  "Exendin-4"  OR  "Ex4 Peptide"  OR  "Peptide, Ex4"  OR  "Exendin 4"  OR  byetta  OR  "AC 2993"  OR  semaglutide  OR  rybelsus  OR  Ozempic  OR  dulaglutide  OR  "LY 2189265"  OR  "LY-2189265"  OR  ly2189265  OR  trulicity  OR  eperzan  OR  tanzeum  OR  albiglutide  OR  efpeglenatide  OR  "L-Proline, 1-(3-(2-(3-(((5S)-5-amino-5-carboxypentyl)amino)propoxy)ethoxy)propyl)"  OR  lixisenatide  OR  "DES-38-proline-exendine-4 (Heloderma suspectum)-(1-39)-peptidylpenta-l-lysyl-l-lysinamide"  OR  adlyxin  OR  "AQVE-10010"  OR  "ZP10A peptide"  OR  "ZP 10"  OR  "ZP-10"  OR  lyxumia  OR  "AVE 010"  OR  "AVE-010"  OR  "AVE 0010"  OR  ave0010  OR  ave-0010  OR  liraglutide  OR  victoza  OR  saxenda  OR  "NN 221"  OR  "2211, NN"  OR  nn2211  OR  nn-2211  OR  taspoglutide  OR  tirzepatide  OR  ly3298176) AND (</w:t>
            </w:r>
            <w:r w:rsidRPr="000A1862">
              <w:rPr>
                <w:rFonts w:asciiTheme="majorBidi" w:hAnsiTheme="majorBidi" w:cstheme="majorBidi"/>
              </w:rPr>
              <w:t>Obesity OR Obes* OR "</w:t>
            </w:r>
            <w:r w:rsidRPr="000A1862">
              <w:rPr>
                <w:rFonts w:asciiTheme="majorBidi" w:eastAsia="Times New Roman" w:hAnsiTheme="majorBidi" w:cstheme="majorBidi"/>
                <w:color w:val="000000"/>
              </w:rPr>
              <w:t>Prediabetic States</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 Prediabetic</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States, Prediabetic</w:t>
            </w:r>
            <w:r w:rsidRPr="000A1862">
              <w:rPr>
                <w:rFonts w:asciiTheme="majorBidi" w:hAnsiTheme="majorBidi" w:cstheme="majorBidi"/>
              </w:rPr>
              <w:t xml:space="preserve">" </w:t>
            </w:r>
            <w:r w:rsidRPr="000A1862">
              <w:rPr>
                <w:rFonts w:asciiTheme="majorBidi" w:eastAsia="Times New Roman" w:hAnsiTheme="majorBidi" w:cstheme="majorBidi"/>
                <w:color w:val="000000"/>
              </w:rPr>
              <w:t>OR Prediabetes OR Overweight) AND (trial))</w:t>
            </w:r>
          </w:p>
        </w:tc>
        <w:tc>
          <w:tcPr>
            <w:tcW w:w="1170" w:type="dxa"/>
          </w:tcPr>
          <w:p w14:paraId="79B8807A"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All Fields</w:t>
            </w:r>
          </w:p>
        </w:tc>
        <w:tc>
          <w:tcPr>
            <w:tcW w:w="990" w:type="dxa"/>
          </w:tcPr>
          <w:p w14:paraId="3625B185"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2396</w:t>
            </w:r>
          </w:p>
        </w:tc>
      </w:tr>
      <w:tr w:rsidR="008936B9" w:rsidRPr="000A1862" w14:paraId="042C0DFE" w14:textId="77777777" w:rsidTr="008936B9">
        <w:trPr>
          <w:trHeight w:val="567"/>
        </w:trPr>
        <w:tc>
          <w:tcPr>
            <w:tcW w:w="1190" w:type="dxa"/>
          </w:tcPr>
          <w:p w14:paraId="3A12EFA7"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WOS</w:t>
            </w:r>
          </w:p>
        </w:tc>
        <w:tc>
          <w:tcPr>
            <w:tcW w:w="12665" w:type="dxa"/>
          </w:tcPr>
          <w:p w14:paraId="0380A7F9"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rPr>
              <w:t xml:space="preserve">(("Glucagon Like Peptides"  OR  "Glucagon-Like Polypeptide"  OR  "Glucagon Like Polypeptide"  OR  "Polypeptide, Glucagon-Like"  OR  "Glucagon-Like Polypeptides"  OR  "Glucagon Like Polypeptides"  OR  "Glucagon-Like Peptide"  OR  "Glucagon Like Peptide"  OR  "Peptide, Glucagon-Like"  OR  enteroglucagons  OR  enteroglucagon  OR  "Gut Glucagon"  OR  "Glucagon, Gut"  OR  "Glucagon Like Peptide 1"  OR  glp-1  OR  "GLP 1"  OR  "Glucagon-Like Peptide-1"  OR  "Glucagon Like Peptide 2"  OR  "Proglucagon (126-158)"  OR  "Glucagon-Like Peptide-2 (1-33)"  OR  "Glucagon-Like Peptide-1 Receptor Agonist"  OR  "Dual GIP and GLP-1 Receptor Agonist" OR </w:t>
            </w:r>
            <w:r w:rsidRPr="000A1862">
              <w:rPr>
                <w:rFonts w:asciiTheme="majorBidi" w:eastAsia="Times New Roman" w:hAnsiTheme="majorBidi" w:cstheme="majorBidi"/>
                <w:color w:val="000000"/>
              </w:rPr>
              <w:t>Exenatide  OR  Bydureon  OR  "ITCA 650"  OR  "AC 2993 LAR"  OR  "Exendin-4"  OR  "Ex4 Peptide"  OR  "Peptide, Ex4"  OR  "Exendin 4"  OR  byetta  OR  "AC 2993"  OR  semaglutide  OR  rybelsus  OR  Ozempic  OR  dulaglutide  OR  "LY 2189265"  OR  "LY-2189265"  OR  ly2189265  OR  trulicity  OR  eperzan  OR  tanzeum  OR  albiglutide  OR  efpeglenatide  OR  "L-Proline, 1-(3-(2-(3-(((5S)-5-amino-5-carboxypentyl)amino)propoxy)ethoxy)propyl)"  OR  lixisenatide  OR  "DES-38-proline-exendine-4 (Heloderma suspectum)-(1-39)-peptidylpenta-l-lysyl-l-lysinamide"  OR  adlyxin  OR  "AQVE-10010"  OR  "ZP10A peptide"  OR  "ZP 10"  OR  "ZP-10"  OR  lyxumia  OR  "AVE 010"  OR  "AVE-010"  OR  "AVE 0010"  OR  ave0010  OR  ave-0010  OR  liraglutide  OR  victoza  OR  saxenda  OR  "NN 221"  OR  "2211, NN"  OR  nn2211  OR  nn-2211  OR  taspoglutide  OR  tirzepatide  OR  ly3298176) AND (</w:t>
            </w:r>
            <w:r w:rsidRPr="000A1862">
              <w:rPr>
                <w:rFonts w:asciiTheme="majorBidi" w:hAnsiTheme="majorBidi" w:cstheme="majorBidi"/>
              </w:rPr>
              <w:t>Obesity OR Obes* OR "</w:t>
            </w:r>
            <w:r w:rsidRPr="000A1862">
              <w:rPr>
                <w:rFonts w:asciiTheme="majorBidi" w:eastAsia="Times New Roman" w:hAnsiTheme="majorBidi" w:cstheme="majorBidi"/>
                <w:color w:val="000000"/>
              </w:rPr>
              <w:t>Prediabetic States</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 Prediabetic</w:t>
            </w:r>
            <w:r w:rsidRPr="000A1862">
              <w:rPr>
                <w:rFonts w:asciiTheme="majorBidi" w:hAnsiTheme="majorBidi" w:cstheme="majorBidi"/>
              </w:rPr>
              <w:t>"</w:t>
            </w:r>
            <w:r w:rsidRPr="000A1862">
              <w:rPr>
                <w:rFonts w:asciiTheme="majorBidi" w:eastAsia="Times New Roman" w:hAnsiTheme="majorBidi" w:cstheme="majorBidi"/>
                <w:color w:val="000000"/>
              </w:rPr>
              <w:t xml:space="preserve"> OR </w:t>
            </w:r>
            <w:r w:rsidRPr="000A1862">
              <w:rPr>
                <w:rFonts w:asciiTheme="majorBidi" w:hAnsiTheme="majorBidi" w:cstheme="majorBidi"/>
              </w:rPr>
              <w:t>"</w:t>
            </w:r>
            <w:r w:rsidRPr="000A1862">
              <w:rPr>
                <w:rFonts w:asciiTheme="majorBidi" w:eastAsia="Times New Roman" w:hAnsiTheme="majorBidi" w:cstheme="majorBidi"/>
                <w:color w:val="000000"/>
              </w:rPr>
              <w:t>States, Prediabetic</w:t>
            </w:r>
            <w:r w:rsidRPr="000A1862">
              <w:rPr>
                <w:rFonts w:asciiTheme="majorBidi" w:hAnsiTheme="majorBidi" w:cstheme="majorBidi"/>
              </w:rPr>
              <w:t xml:space="preserve">" </w:t>
            </w:r>
            <w:r w:rsidRPr="000A1862">
              <w:rPr>
                <w:rFonts w:asciiTheme="majorBidi" w:eastAsia="Times New Roman" w:hAnsiTheme="majorBidi" w:cstheme="majorBidi"/>
                <w:color w:val="000000"/>
              </w:rPr>
              <w:t>OR Prediabetes OR Overweight) AND (trial))</w:t>
            </w:r>
          </w:p>
        </w:tc>
        <w:tc>
          <w:tcPr>
            <w:tcW w:w="1170" w:type="dxa"/>
          </w:tcPr>
          <w:p w14:paraId="79B8A7D0"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All Fields</w:t>
            </w:r>
          </w:p>
        </w:tc>
        <w:tc>
          <w:tcPr>
            <w:tcW w:w="990" w:type="dxa"/>
          </w:tcPr>
          <w:p w14:paraId="3C0AC4C8"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5983</w:t>
            </w:r>
          </w:p>
        </w:tc>
      </w:tr>
      <w:tr w:rsidR="008936B9" w:rsidRPr="000A1862" w14:paraId="00275F3A" w14:textId="77777777" w:rsidTr="008936B9">
        <w:trPr>
          <w:trHeight w:val="567"/>
        </w:trPr>
        <w:tc>
          <w:tcPr>
            <w:tcW w:w="1190" w:type="dxa"/>
          </w:tcPr>
          <w:p w14:paraId="29217AE1"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SCOPUS</w:t>
            </w:r>
          </w:p>
        </w:tc>
        <w:tc>
          <w:tcPr>
            <w:tcW w:w="12665" w:type="dxa"/>
          </w:tcPr>
          <w:p w14:paraId="0473C6A9" w14:textId="77777777" w:rsidR="008936B9" w:rsidRPr="000A1862" w:rsidRDefault="008936B9" w:rsidP="008936B9">
            <w:pPr>
              <w:rPr>
                <w:rFonts w:asciiTheme="majorBidi" w:hAnsiTheme="majorBidi" w:cstheme="majorBidi"/>
              </w:rPr>
            </w:pPr>
            <w:r w:rsidRPr="000A1862">
              <w:rPr>
                <w:rFonts w:asciiTheme="majorBidi" w:hAnsiTheme="majorBidi" w:cstheme="majorBidi"/>
              </w:rPr>
              <w:t>TITLE-ABS-KEY((("Glucagon Like Peptides" OR "Glucagon-Like Polypeptide" OR "Glucagon Like Polypeptide" OR "Polypeptide, Glucagon-Like" OR "Glucagon-Like Polypeptides" OR "Glucagon Like Polypeptides" OR "Glucagon-Like Peptide" OR "Glucagon Like Peptide" OR "Peptide, Glucagon-Like" OR enteroglucagons OR enteroglucagon OR "Gut Glucagon" OR "Glucagon, Gut" OR "Glucagon Like Peptide 1" OR glp-1 OR "GLP 1" OR "Glucagon-Like Peptide-1" OR "Glucagon Like Peptide 2" OR "Proglucagon (126-158)" OR "Glucagon-Like Peptide-2 (1-33)" OR "Glucagon-Like Peptide-1 Receptor Agonist" OR "Dual GIP and GLP-1 Receptor Agonist" OR Exenatide OR Bydureon OR "ITCA 650" OR "AC 2993 LAR" OR "Exendin-4" OR "Ex4 Peptide" OR "Peptide, Ex4" OR "Exendin 4" OR byetta OR "AC 2993" OR semaglutide OR rybelsus OR Ozempic OR dulaglutide OR "LY 2189265" OR "LY-2189265" OR ly2189265 OR trulicity OR eperzan OR tanzeum OR albiglutide OR efpeglenatide OR "L-Proline, 1-(3-(2-(3-(((5S)-5-amino-5-carboxypentyl)amino)propoxy)ethoxy)propyl)" OR lixisenatide OR "DES-38-proline-exendine-4 (Heloderma suspectum)-(1-39)-peptidylpenta-l-lysyl-l-lysinamide" OR adlyxin OR "AQVE-10010" OR "ZP10A peptide" OR "ZP 10" OR "ZP-10" OR lyxumia OR "AVE 010" OR "AVE-010" OR "AVE 0010" OR ave0010 OR ave-0010 OR liraglutide OR victoza OR saxenda OR "NN 221" OR "2211, NN" OR nn2211 OR nn-2211 OR taspoglutide OR tirzepatide OR ly3298176) AND (Obesity OR Obes* OR "Prediabetic States" OR "State, Prediabetic" OR "States, Prediabetic" OR Prediabetes OR Overweight) AND (trial)))</w:t>
            </w:r>
          </w:p>
        </w:tc>
        <w:tc>
          <w:tcPr>
            <w:tcW w:w="1170" w:type="dxa"/>
          </w:tcPr>
          <w:p w14:paraId="6898E85B"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Title, Abstract, Keywords</w:t>
            </w:r>
          </w:p>
        </w:tc>
        <w:tc>
          <w:tcPr>
            <w:tcW w:w="990" w:type="dxa"/>
          </w:tcPr>
          <w:p w14:paraId="4D16D648" w14:textId="77777777" w:rsidR="008936B9" w:rsidRPr="000A1862" w:rsidRDefault="008936B9" w:rsidP="008936B9">
            <w:pPr>
              <w:rPr>
                <w:rFonts w:asciiTheme="majorBidi" w:hAnsiTheme="majorBidi" w:cstheme="majorBidi"/>
                <w:lang w:val="en-GB"/>
              </w:rPr>
            </w:pPr>
            <w:r w:rsidRPr="000A1862">
              <w:rPr>
                <w:rFonts w:asciiTheme="majorBidi" w:hAnsiTheme="majorBidi" w:cstheme="majorBidi"/>
                <w:lang w:val="en-GB"/>
              </w:rPr>
              <w:t>2935</w:t>
            </w:r>
          </w:p>
        </w:tc>
      </w:tr>
    </w:tbl>
    <w:p w14:paraId="47D3D245" w14:textId="666E6298" w:rsidR="00EA1D24" w:rsidRPr="003521E9" w:rsidRDefault="00DC1F57" w:rsidP="00CC6BAE">
      <w:pPr>
        <w:jc w:val="center"/>
        <w:rPr>
          <w:rFonts w:asciiTheme="majorBidi" w:hAnsiTheme="majorBidi" w:cstheme="majorBidi"/>
          <w:b/>
          <w:bCs/>
          <w:sz w:val="24"/>
          <w:szCs w:val="24"/>
          <w:lang w:val="en-GB"/>
        </w:rPr>
        <w:sectPr w:rsidR="00EA1D24" w:rsidRPr="003521E9" w:rsidSect="008936B9">
          <w:pgSz w:w="18720" w:h="23040" w:code="3"/>
          <w:pgMar w:top="1440" w:right="1440" w:bottom="1440" w:left="1440" w:header="720" w:footer="720" w:gutter="0"/>
          <w:cols w:space="720"/>
          <w:docGrid w:linePitch="360"/>
        </w:sectPr>
      </w:pPr>
      <w:r w:rsidRPr="003521E9">
        <w:rPr>
          <w:rFonts w:asciiTheme="majorBidi" w:hAnsiTheme="majorBidi" w:cstheme="majorBidi"/>
          <w:b/>
          <w:bCs/>
          <w:sz w:val="24"/>
          <w:szCs w:val="24"/>
          <w:lang w:val="en-GB"/>
        </w:rPr>
        <w:t>Table S1</w:t>
      </w:r>
      <w:r w:rsidR="003521E9" w:rsidRPr="003521E9">
        <w:rPr>
          <w:rFonts w:asciiTheme="majorBidi" w:hAnsiTheme="majorBidi" w:cstheme="majorBidi"/>
          <w:sz w:val="24"/>
          <w:szCs w:val="24"/>
          <w:lang w:val="en-GB"/>
        </w:rPr>
        <w:t>.</w:t>
      </w:r>
      <w:r w:rsidRPr="003521E9">
        <w:rPr>
          <w:rFonts w:asciiTheme="majorBidi" w:hAnsiTheme="majorBidi" w:cstheme="majorBidi"/>
          <w:sz w:val="24"/>
          <w:szCs w:val="24"/>
          <w:lang w:val="en-GB"/>
        </w:rPr>
        <w:t xml:space="preserve"> </w:t>
      </w:r>
      <w:bookmarkStart w:id="1" w:name="_Hlk132233238"/>
      <w:r w:rsidRPr="003521E9">
        <w:rPr>
          <w:rFonts w:asciiTheme="majorBidi" w:hAnsiTheme="majorBidi" w:cstheme="majorBidi"/>
          <w:sz w:val="24"/>
          <w:szCs w:val="24"/>
          <w:lang w:val="en-GB"/>
        </w:rPr>
        <w:t>Full search strategy for each database</w:t>
      </w:r>
      <w:bookmarkEnd w:id="1"/>
      <w:r w:rsidRPr="003521E9">
        <w:rPr>
          <w:rFonts w:asciiTheme="majorBidi" w:hAnsiTheme="majorBidi" w:cstheme="majorBidi"/>
          <w:sz w:val="24"/>
          <w:szCs w:val="24"/>
          <w:lang w:val="en-GB"/>
        </w:rPr>
        <w:t>.</w:t>
      </w:r>
    </w:p>
    <w:p w14:paraId="79CD85C6" w14:textId="7D68F5CC" w:rsidR="000A1862" w:rsidRPr="000A1862" w:rsidRDefault="000A1862" w:rsidP="000A1862">
      <w:pPr>
        <w:jc w:val="center"/>
        <w:rPr>
          <w:rFonts w:asciiTheme="majorBidi" w:hAnsiTheme="majorBidi" w:cstheme="majorBidi"/>
          <w:sz w:val="24"/>
          <w:szCs w:val="24"/>
        </w:rPr>
      </w:pPr>
      <w:r w:rsidRPr="000A1862">
        <w:rPr>
          <w:rFonts w:asciiTheme="majorBidi" w:hAnsiTheme="majorBidi" w:cstheme="majorBidi"/>
          <w:b/>
          <w:bCs/>
          <w:sz w:val="24"/>
          <w:szCs w:val="24"/>
        </w:rPr>
        <w:lastRenderedPageBreak/>
        <w:t xml:space="preserve">Table S2. </w:t>
      </w:r>
      <w:r w:rsidRPr="000A1862">
        <w:rPr>
          <w:rFonts w:asciiTheme="majorBidi" w:hAnsiTheme="majorBidi" w:cstheme="majorBidi"/>
          <w:sz w:val="24"/>
          <w:szCs w:val="24"/>
        </w:rPr>
        <w:t>The inclusion and exclusion criteria of the included studies</w:t>
      </w:r>
    </w:p>
    <w:tbl>
      <w:tblPr>
        <w:tblStyle w:val="TableGrid"/>
        <w:tblpPr w:leftFromText="180" w:rightFromText="180" w:vertAnchor="page" w:horzAnchor="margin" w:tblpXSpec="center" w:tblpY="1825"/>
        <w:tblW w:w="12556" w:type="dxa"/>
        <w:tblLayout w:type="fixed"/>
        <w:tblLook w:val="04A0" w:firstRow="1" w:lastRow="0" w:firstColumn="1" w:lastColumn="0" w:noHBand="0" w:noVBand="1"/>
      </w:tblPr>
      <w:tblGrid>
        <w:gridCol w:w="1187"/>
        <w:gridCol w:w="5220"/>
        <w:gridCol w:w="6149"/>
      </w:tblGrid>
      <w:tr w:rsidR="000A1862" w:rsidRPr="000A1862" w14:paraId="1A1B7862" w14:textId="77777777" w:rsidTr="00233851">
        <w:trPr>
          <w:trHeight w:val="299"/>
        </w:trPr>
        <w:tc>
          <w:tcPr>
            <w:tcW w:w="1187" w:type="dxa"/>
            <w:vAlign w:val="center"/>
          </w:tcPr>
          <w:p w14:paraId="5C91F56A"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Study ID</w:t>
            </w:r>
          </w:p>
        </w:tc>
        <w:tc>
          <w:tcPr>
            <w:tcW w:w="5220" w:type="dxa"/>
            <w:vAlign w:val="center"/>
            <w:hideMark/>
          </w:tcPr>
          <w:p w14:paraId="6680C058"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Inclusion criteria</w:t>
            </w:r>
          </w:p>
        </w:tc>
        <w:tc>
          <w:tcPr>
            <w:tcW w:w="6149" w:type="dxa"/>
            <w:vAlign w:val="center"/>
            <w:hideMark/>
          </w:tcPr>
          <w:p w14:paraId="745FCBD4"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Exclusion criteria</w:t>
            </w:r>
          </w:p>
        </w:tc>
      </w:tr>
      <w:tr w:rsidR="000A1862" w:rsidRPr="000A1862" w14:paraId="52052C51" w14:textId="77777777" w:rsidTr="00233851">
        <w:trPr>
          <w:trHeight w:val="527"/>
        </w:trPr>
        <w:tc>
          <w:tcPr>
            <w:tcW w:w="1187" w:type="dxa"/>
            <w:vAlign w:val="center"/>
          </w:tcPr>
          <w:p w14:paraId="2AE5FE87"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Ariel et al. 2014</w:t>
            </w:r>
          </w:p>
        </w:tc>
        <w:tc>
          <w:tcPr>
            <w:tcW w:w="5220" w:type="dxa"/>
            <w:vAlign w:val="center"/>
            <w:hideMark/>
          </w:tcPr>
          <w:p w14:paraId="546239FD"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Age ≥ 40 years, overweight with prediabetes, in good general health, without known disease</w:t>
            </w:r>
          </w:p>
        </w:tc>
        <w:tc>
          <w:tcPr>
            <w:tcW w:w="6149" w:type="dxa"/>
            <w:vAlign w:val="center"/>
            <w:hideMark/>
          </w:tcPr>
          <w:p w14:paraId="57577A8C"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T2DM, kidney or liver disease, any medications that affect lipoprotein or carbohydrate metabolism or promote weight loss, had a history of gallstones, pancreatitis, medullary carcinoma, family history of medullary carcinoma or multiple endocrine neoplasia type 2.</w:t>
            </w:r>
          </w:p>
        </w:tc>
      </w:tr>
      <w:tr w:rsidR="000A1862" w:rsidRPr="000A1862" w14:paraId="121A0483" w14:textId="77777777" w:rsidTr="00233851">
        <w:trPr>
          <w:trHeight w:val="753"/>
        </w:trPr>
        <w:tc>
          <w:tcPr>
            <w:tcW w:w="1187" w:type="dxa"/>
            <w:vAlign w:val="center"/>
          </w:tcPr>
          <w:p w14:paraId="2B820900"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Rosenstock et al. 2010</w:t>
            </w:r>
          </w:p>
        </w:tc>
        <w:tc>
          <w:tcPr>
            <w:tcW w:w="5220" w:type="dxa"/>
            <w:vAlign w:val="center"/>
            <w:hideMark/>
          </w:tcPr>
          <w:p w14:paraId="36A01C38"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 xml:space="preserve">Non diabetic, obese (BMI ≥ 30 kg/m²) with or without prediabetes </w:t>
            </w:r>
          </w:p>
        </w:tc>
        <w:tc>
          <w:tcPr>
            <w:tcW w:w="6149" w:type="dxa"/>
            <w:vAlign w:val="center"/>
            <w:hideMark/>
          </w:tcPr>
          <w:p w14:paraId="3767544E"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T2DM, previous use of glucose-lowering medications for more than 3 months, unstable body weight</w:t>
            </w:r>
          </w:p>
        </w:tc>
      </w:tr>
      <w:tr w:rsidR="000A1862" w:rsidRPr="000A1862" w14:paraId="206175D7" w14:textId="77777777" w:rsidTr="00233851">
        <w:trPr>
          <w:trHeight w:val="679"/>
        </w:trPr>
        <w:tc>
          <w:tcPr>
            <w:tcW w:w="1187" w:type="dxa"/>
            <w:vAlign w:val="center"/>
          </w:tcPr>
          <w:p w14:paraId="0B2BD6B5"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Mashayekhi et al. 2022</w:t>
            </w:r>
          </w:p>
        </w:tc>
        <w:tc>
          <w:tcPr>
            <w:tcW w:w="5220" w:type="dxa"/>
            <w:vAlign w:val="center"/>
            <w:hideMark/>
          </w:tcPr>
          <w:p w14:paraId="2BD88B50"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Age = 18 to 65 years, obese (BMI ≥ 30 kg/m²) with prediabetes</w:t>
            </w:r>
          </w:p>
        </w:tc>
        <w:tc>
          <w:tcPr>
            <w:tcW w:w="6149" w:type="dxa"/>
            <w:vAlign w:val="center"/>
            <w:hideMark/>
          </w:tcPr>
          <w:p w14:paraId="2D654053"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Type 1 or 2 diabetes, resistant hypertension, history of pancreatitis, significant cardiovascular disease, asthma with regular inhaler use, and impaired kidney or liver function</w:t>
            </w:r>
          </w:p>
        </w:tc>
      </w:tr>
      <w:tr w:rsidR="000A1862" w:rsidRPr="000A1862" w14:paraId="6638DACE" w14:textId="77777777" w:rsidTr="00233851">
        <w:trPr>
          <w:trHeight w:val="527"/>
        </w:trPr>
        <w:tc>
          <w:tcPr>
            <w:tcW w:w="1187" w:type="dxa"/>
            <w:vAlign w:val="center"/>
          </w:tcPr>
          <w:p w14:paraId="55F269BC"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Pratley et al. 2021</w:t>
            </w:r>
          </w:p>
        </w:tc>
        <w:tc>
          <w:tcPr>
            <w:tcW w:w="5220" w:type="dxa"/>
            <w:vAlign w:val="center"/>
            <w:hideMark/>
          </w:tcPr>
          <w:p w14:paraId="4FCF26B7"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 xml:space="preserve">Obesity/overweight (BMI ≥30 kg/m² or ≥27 kg/m²) with prediabetes (FPG &lt; 126mg/dL) with comorbidities </w:t>
            </w:r>
          </w:p>
        </w:tc>
        <w:tc>
          <w:tcPr>
            <w:tcW w:w="6149" w:type="dxa"/>
            <w:vAlign w:val="center"/>
            <w:hideMark/>
          </w:tcPr>
          <w:p w14:paraId="590D1704"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BMI &gt; 42kg/m2, drug-induced (iatrogenic) obesity, known diabetes, or HbA1c &gt;6.5% (48mmol/mol).</w:t>
            </w:r>
          </w:p>
        </w:tc>
      </w:tr>
      <w:tr w:rsidR="000A1862" w:rsidRPr="000A1862" w14:paraId="3981658D" w14:textId="77777777" w:rsidTr="00233851">
        <w:trPr>
          <w:trHeight w:val="601"/>
        </w:trPr>
        <w:tc>
          <w:tcPr>
            <w:tcW w:w="1187" w:type="dxa"/>
            <w:vAlign w:val="center"/>
          </w:tcPr>
          <w:p w14:paraId="2E2EEF52"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Kim et al. 2013</w:t>
            </w:r>
          </w:p>
        </w:tc>
        <w:tc>
          <w:tcPr>
            <w:tcW w:w="5220" w:type="dxa"/>
            <w:vAlign w:val="center"/>
            <w:hideMark/>
          </w:tcPr>
          <w:p w14:paraId="599FF880"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 40 to 70 years, overweight/obesity (BMI = 27 to 40 kg/m²) with prediabetes and stable weight (&lt; 5% reported change) in the previous 3 months.</w:t>
            </w:r>
          </w:p>
        </w:tc>
        <w:tc>
          <w:tcPr>
            <w:tcW w:w="6149" w:type="dxa"/>
            <w:vAlign w:val="center"/>
            <w:hideMark/>
          </w:tcPr>
          <w:p w14:paraId="690D2CED"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T2DM, use of medications that can affect carbohydrate metabolism or promote weight loss, gallstones, history of pancreatitis, medullary carcinoma, family history of medullary carcinoma or multiple endocrine neoplasia type 2, and known cardiac, liver, or kidney disease.</w:t>
            </w:r>
          </w:p>
        </w:tc>
      </w:tr>
      <w:tr w:rsidR="000A1862" w:rsidRPr="000A1862" w14:paraId="5780B1D4" w14:textId="77777777" w:rsidTr="00233851">
        <w:trPr>
          <w:trHeight w:val="679"/>
        </w:trPr>
        <w:tc>
          <w:tcPr>
            <w:tcW w:w="1187" w:type="dxa"/>
            <w:vAlign w:val="center"/>
          </w:tcPr>
          <w:p w14:paraId="3421A9D1"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Lundkvist et al. 2017</w:t>
            </w:r>
          </w:p>
        </w:tc>
        <w:tc>
          <w:tcPr>
            <w:tcW w:w="5220" w:type="dxa"/>
            <w:vAlign w:val="center"/>
            <w:hideMark/>
          </w:tcPr>
          <w:p w14:paraId="0A7C775E"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Age = 18 to 70 years, non-diabetic, obese (BMI = 30 to 45 kg/m²) with or without prediabetes</w:t>
            </w:r>
          </w:p>
        </w:tc>
        <w:tc>
          <w:tcPr>
            <w:tcW w:w="6149" w:type="dxa"/>
            <w:vAlign w:val="center"/>
            <w:hideMark/>
          </w:tcPr>
          <w:p w14:paraId="63FC0CB7"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T2DM</w:t>
            </w:r>
          </w:p>
        </w:tc>
      </w:tr>
      <w:tr w:rsidR="000A1862" w:rsidRPr="000A1862" w14:paraId="50F5F706" w14:textId="77777777" w:rsidTr="00233851">
        <w:trPr>
          <w:trHeight w:val="601"/>
        </w:trPr>
        <w:tc>
          <w:tcPr>
            <w:tcW w:w="1187" w:type="dxa"/>
            <w:vAlign w:val="center"/>
          </w:tcPr>
          <w:p w14:paraId="7F32FAB0"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Zhou et al. 2017</w:t>
            </w:r>
          </w:p>
        </w:tc>
        <w:tc>
          <w:tcPr>
            <w:tcW w:w="5220" w:type="dxa"/>
            <w:vAlign w:val="center"/>
            <w:hideMark/>
          </w:tcPr>
          <w:p w14:paraId="61C8289F"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Children (Age = 6 to 18 years), overweight/obese with prediabetes</w:t>
            </w:r>
          </w:p>
        </w:tc>
        <w:tc>
          <w:tcPr>
            <w:tcW w:w="6149" w:type="dxa"/>
            <w:vAlign w:val="center"/>
            <w:hideMark/>
          </w:tcPr>
          <w:p w14:paraId="56CB512C"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Any children with genetic metabolism, endocrine disease, kidney disease high blood pressure and high blood lipid profile</w:t>
            </w:r>
          </w:p>
        </w:tc>
      </w:tr>
      <w:tr w:rsidR="000A1862" w:rsidRPr="000A1862" w14:paraId="0E85DA39" w14:textId="77777777" w:rsidTr="00233851">
        <w:trPr>
          <w:trHeight w:val="527"/>
        </w:trPr>
        <w:tc>
          <w:tcPr>
            <w:tcW w:w="1187" w:type="dxa"/>
            <w:vAlign w:val="center"/>
          </w:tcPr>
          <w:p w14:paraId="07128C8E"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Astrup et al. 2009</w:t>
            </w:r>
          </w:p>
        </w:tc>
        <w:tc>
          <w:tcPr>
            <w:tcW w:w="5220" w:type="dxa"/>
            <w:vAlign w:val="center"/>
            <w:hideMark/>
          </w:tcPr>
          <w:p w14:paraId="6DA6E239"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 18 to 65 years, non-diabetic, obese (BMI = 30–40 kg/m²) with or without prediabetes with stable bodyweight (&lt;5% reported change during the previous 3 months) and fasting plasma glucose of less than 7 mmol/L.</w:t>
            </w:r>
          </w:p>
        </w:tc>
        <w:tc>
          <w:tcPr>
            <w:tcW w:w="6149" w:type="dxa"/>
            <w:vAlign w:val="center"/>
            <w:hideMark/>
          </w:tcPr>
          <w:p w14:paraId="36419F37"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Type 1 or 2 diabetes, obesity induced by drug treatment, use of approved weight-lowering pharmacotherapy or participation in a clinical weight control study within the previous 3 months, previous surgical obesity treatment, and major medical conditions</w:t>
            </w:r>
          </w:p>
        </w:tc>
      </w:tr>
      <w:tr w:rsidR="000A1862" w:rsidRPr="000A1862" w14:paraId="14DFB732" w14:textId="77777777" w:rsidTr="00233851">
        <w:trPr>
          <w:trHeight w:val="451"/>
        </w:trPr>
        <w:tc>
          <w:tcPr>
            <w:tcW w:w="1187" w:type="dxa"/>
            <w:vAlign w:val="center"/>
          </w:tcPr>
          <w:p w14:paraId="40117CFF"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Astrup et al. 2012</w:t>
            </w:r>
          </w:p>
        </w:tc>
        <w:tc>
          <w:tcPr>
            <w:tcW w:w="5220" w:type="dxa"/>
            <w:vAlign w:val="center"/>
            <w:hideMark/>
          </w:tcPr>
          <w:p w14:paraId="79F516A1"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 18 to 65 years, non-diabetic, obese (BMI = 30–40 kg/m²) with or without prediabetes with stable bodyweight (&lt;5% reported change during the previous 3 months) and fasting plasma glucose of less than 7 mmol/L.</w:t>
            </w:r>
          </w:p>
        </w:tc>
        <w:tc>
          <w:tcPr>
            <w:tcW w:w="6149" w:type="dxa"/>
            <w:vAlign w:val="center"/>
            <w:hideMark/>
          </w:tcPr>
          <w:p w14:paraId="4A721014"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Type 1 or 2 diabetes, obesity induced by drug treatment, use of approved weight-lowering pharmacotherapy or participation in a clinical weight control study within the previous 3 months, previous surgical obesity treatment, and major medical conditions</w:t>
            </w:r>
          </w:p>
        </w:tc>
      </w:tr>
      <w:tr w:rsidR="000A1862" w:rsidRPr="000A1862" w14:paraId="3EF5641D" w14:textId="77777777" w:rsidTr="00233851">
        <w:trPr>
          <w:trHeight w:val="679"/>
        </w:trPr>
        <w:tc>
          <w:tcPr>
            <w:tcW w:w="1187" w:type="dxa"/>
            <w:vAlign w:val="center"/>
          </w:tcPr>
          <w:p w14:paraId="6583AA2A"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Pi-Sunyer et al. 2015</w:t>
            </w:r>
          </w:p>
        </w:tc>
        <w:tc>
          <w:tcPr>
            <w:tcW w:w="5220" w:type="dxa"/>
            <w:vAlign w:val="center"/>
            <w:hideMark/>
          </w:tcPr>
          <w:p w14:paraId="07240586"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 18 years, non-diabetic, obese/overweight (BMI ≥ 30.0 kg/m2 or ≥27.0 kg/m2) with or without prediabetes with treated or untreated comorbid dyslipidemia and/or hypertension, stable body weight (&lt; 5 kg self-reported change during the previous 3 months), and Preceding failed dietary effort</w:t>
            </w:r>
          </w:p>
        </w:tc>
        <w:tc>
          <w:tcPr>
            <w:tcW w:w="6149" w:type="dxa"/>
            <w:vAlign w:val="center"/>
            <w:hideMark/>
          </w:tcPr>
          <w:p w14:paraId="0BF48740"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Type 1 or 2 diabetes, the use of medications that cause clinically significant weight gain or loss, previous bariatric surgery, a history of pancreatitis, a history of major depressive or other severe psychiatric disorders, and a family or personal history of multiple endocrine neoplasia type 2 or familial medullary thyroid carcinoma.</w:t>
            </w:r>
          </w:p>
        </w:tc>
      </w:tr>
      <w:tr w:rsidR="000A1862" w:rsidRPr="000A1862" w14:paraId="38FEA866" w14:textId="77777777" w:rsidTr="00233851">
        <w:trPr>
          <w:trHeight w:val="679"/>
        </w:trPr>
        <w:tc>
          <w:tcPr>
            <w:tcW w:w="1187" w:type="dxa"/>
            <w:vAlign w:val="center"/>
          </w:tcPr>
          <w:p w14:paraId="670E7969"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Le Roux et al. 2017</w:t>
            </w:r>
          </w:p>
        </w:tc>
        <w:tc>
          <w:tcPr>
            <w:tcW w:w="5220" w:type="dxa"/>
            <w:vAlign w:val="center"/>
            <w:hideMark/>
          </w:tcPr>
          <w:p w14:paraId="315498EC"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 18 years, Overweight/obesity (BMI ≥ 30.0 kg/m2 or ≥27.0 kg/m2) with prediabetes with treated or untreated comorbid dyslipidemia and/or hypertension, stable body weight (&lt; 5 kg self-reported change during the previous 3 months), and Preceding failed dietary effort</w:t>
            </w:r>
          </w:p>
        </w:tc>
        <w:tc>
          <w:tcPr>
            <w:tcW w:w="6149" w:type="dxa"/>
            <w:vAlign w:val="center"/>
            <w:hideMark/>
          </w:tcPr>
          <w:p w14:paraId="157B5F2B"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Type 1 or 2 diabetes, the use of medications that cause clinically significant weight gain or loss, previous bariatric surgery, a history of pancreatitis, a history of major depressive or other severe psychiatric disorders, and a family or personal history of multiple endocrine neoplasia type 2 or familial medullary thyroid carcinoma.</w:t>
            </w:r>
          </w:p>
        </w:tc>
      </w:tr>
      <w:tr w:rsidR="000A1862" w:rsidRPr="000A1862" w14:paraId="2000F796" w14:textId="77777777" w:rsidTr="00233851">
        <w:trPr>
          <w:trHeight w:val="905"/>
        </w:trPr>
        <w:tc>
          <w:tcPr>
            <w:tcW w:w="1187" w:type="dxa"/>
            <w:vAlign w:val="center"/>
          </w:tcPr>
          <w:p w14:paraId="1C8F183D"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Perreault et al. 2022a</w:t>
            </w:r>
          </w:p>
        </w:tc>
        <w:tc>
          <w:tcPr>
            <w:tcW w:w="5220" w:type="dxa"/>
            <w:vAlign w:val="center"/>
            <w:hideMark/>
          </w:tcPr>
          <w:p w14:paraId="38A1A511"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≥18 years, non-diabetic, overweight/obese (BMI ≥ 30.0 kg/m² or ≥27.0 kg/m²) with or without prediabetes with one or more treated or untreated weight-related coexisting conditions (i.e., hypertension, dyslipidemia, obstructive sleep apnea, or cardiovascular disease), and History of at least one self-reported unsuccessful dietary effort to lose body weight.</w:t>
            </w:r>
          </w:p>
        </w:tc>
        <w:tc>
          <w:tcPr>
            <w:tcW w:w="6149" w:type="dxa"/>
            <w:vAlign w:val="center"/>
            <w:hideMark/>
          </w:tcPr>
          <w:p w14:paraId="2C464CE7"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Diabetes, HbA1c = 48 mmol/L (6.5%) or greater, a history of chronic pancreatitis, acute pancreatitis within 180 days before enrollment, previous surgical obesity treatment, and use of anti-obesity medication within 90 days before enrollment.</w:t>
            </w:r>
          </w:p>
        </w:tc>
      </w:tr>
      <w:tr w:rsidR="000A1862" w:rsidRPr="000A1862" w14:paraId="7D2C2B56" w14:textId="77777777" w:rsidTr="00233851">
        <w:trPr>
          <w:trHeight w:val="1210"/>
        </w:trPr>
        <w:tc>
          <w:tcPr>
            <w:tcW w:w="1187" w:type="dxa"/>
            <w:vAlign w:val="center"/>
          </w:tcPr>
          <w:p w14:paraId="6026FBC6"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Perreault et al. 2022b</w:t>
            </w:r>
          </w:p>
        </w:tc>
        <w:tc>
          <w:tcPr>
            <w:tcW w:w="5220" w:type="dxa"/>
            <w:vAlign w:val="center"/>
            <w:hideMark/>
          </w:tcPr>
          <w:p w14:paraId="5295C34E"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≥18 years, non-diabetic, overweight/obese (BMI ≥ 30.0 kg/m² or ≥27.0 kg/m²) with or without prediabetes with one or more treated or untreated weight-related coexisting conditions (i.e., hypertension, dyslipidemia, obstructive sleep apnea, or cardiovascular disease), and History of at least one self-reported unsuccessful dietary effort to lose body weight.</w:t>
            </w:r>
          </w:p>
        </w:tc>
        <w:tc>
          <w:tcPr>
            <w:tcW w:w="6149" w:type="dxa"/>
            <w:vAlign w:val="center"/>
            <w:hideMark/>
          </w:tcPr>
          <w:p w14:paraId="56726226"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Diabetes, HbA1c = 48 mmol/L (6.5%) or greater, a history of chronic pancreatitis, acute pancreatitis within 180 days before enrollment, previous surgical obesity treatment, and use of anti-obesity medication within 90 days before enrollment.</w:t>
            </w:r>
          </w:p>
        </w:tc>
      </w:tr>
      <w:tr w:rsidR="000A1862" w:rsidRPr="000A1862" w14:paraId="67F1313A" w14:textId="77777777" w:rsidTr="00233851">
        <w:trPr>
          <w:trHeight w:val="905"/>
        </w:trPr>
        <w:tc>
          <w:tcPr>
            <w:tcW w:w="1187" w:type="dxa"/>
            <w:vAlign w:val="center"/>
          </w:tcPr>
          <w:p w14:paraId="228772C9"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rPr>
              <w:t>Perreault et al. 2022c</w:t>
            </w:r>
          </w:p>
        </w:tc>
        <w:tc>
          <w:tcPr>
            <w:tcW w:w="5220" w:type="dxa"/>
            <w:vAlign w:val="center"/>
            <w:hideMark/>
          </w:tcPr>
          <w:p w14:paraId="414B5C44" w14:textId="77777777" w:rsidR="000A1862" w:rsidRPr="000A1862" w:rsidRDefault="000A1862" w:rsidP="00233851">
            <w:pPr>
              <w:jc w:val="center"/>
              <w:rPr>
                <w:rFonts w:asciiTheme="majorBidi" w:eastAsia="Times New Roman" w:hAnsiTheme="majorBidi" w:cstheme="majorBidi"/>
                <w:color w:val="000000"/>
              </w:rPr>
            </w:pPr>
            <w:r w:rsidRPr="000A1862">
              <w:rPr>
                <w:rFonts w:asciiTheme="majorBidi" w:eastAsia="Times New Roman" w:hAnsiTheme="majorBidi" w:cstheme="majorBidi"/>
                <w:color w:val="000000"/>
              </w:rPr>
              <w:t>Age ≥18 years, non-diabetic, overweight/obese (BMI ≥ 30.0 kg/m² or ≥27.0 kg/m²) with or without prediabetes with one or more treated or untreated weight-related coexisting conditions (i.e., hypertension, dyslipidemia, obstructive sleep apnea, or cardiovascular disease), and History of at least one self-reported unsuccessful dietary effort to lose body weight. All patients received subcutaneous semaglutide for a 20-week run-in period</w:t>
            </w:r>
          </w:p>
        </w:tc>
        <w:tc>
          <w:tcPr>
            <w:tcW w:w="6149" w:type="dxa"/>
            <w:vAlign w:val="center"/>
            <w:hideMark/>
          </w:tcPr>
          <w:p w14:paraId="031F6EFA" w14:textId="77777777" w:rsidR="000A1862" w:rsidRPr="000A1862" w:rsidRDefault="000A1862" w:rsidP="00233851">
            <w:pPr>
              <w:jc w:val="center"/>
              <w:rPr>
                <w:rFonts w:asciiTheme="majorBidi" w:eastAsia="Times New Roman" w:hAnsiTheme="majorBidi" w:cstheme="majorBidi"/>
              </w:rPr>
            </w:pPr>
            <w:r w:rsidRPr="000A1862">
              <w:rPr>
                <w:rFonts w:asciiTheme="majorBidi" w:eastAsia="Times New Roman" w:hAnsiTheme="majorBidi" w:cstheme="majorBidi"/>
              </w:rPr>
              <w:t>Diabetes, HbA1c = 48 mmol/L (6.5%) or greater, a history of chronic pancreatitis, acute pancreatitis within 180 days before enrollment, previous surgical obesity treatment, and use of anti-obesity medication within 90 days before enrollment.</w:t>
            </w:r>
          </w:p>
        </w:tc>
      </w:tr>
    </w:tbl>
    <w:p w14:paraId="39E62DD9" w14:textId="77777777" w:rsidR="000A1862" w:rsidRDefault="000A1862">
      <w:pPr>
        <w:rPr>
          <w:rFonts w:asciiTheme="majorBidi" w:hAnsiTheme="majorBidi" w:cstheme="majorBidi"/>
        </w:rPr>
      </w:pPr>
    </w:p>
    <w:p w14:paraId="6D25FCB8" w14:textId="77777777" w:rsidR="00D41398" w:rsidRDefault="00D41398" w:rsidP="00D41398">
      <w:pPr>
        <w:ind w:firstLine="720"/>
        <w:rPr>
          <w:rFonts w:asciiTheme="majorBidi" w:hAnsiTheme="majorBidi" w:cstheme="majorBidi"/>
        </w:rPr>
        <w:sectPr w:rsidR="00D41398" w:rsidSect="000A1862">
          <w:pgSz w:w="15840" w:h="24480" w:code="3"/>
          <w:pgMar w:top="1440" w:right="1440" w:bottom="1440" w:left="1440" w:header="720" w:footer="720" w:gutter="0"/>
          <w:cols w:space="720"/>
          <w:docGrid w:linePitch="360"/>
        </w:sectPr>
      </w:pPr>
    </w:p>
    <w:p w14:paraId="655D062B" w14:textId="257ED588" w:rsidR="00D41398" w:rsidRPr="00D41398" w:rsidRDefault="00D41398" w:rsidP="00E70F59">
      <w:pPr>
        <w:spacing w:line="140" w:lineRule="atLeast"/>
        <w:jc w:val="center"/>
        <w:rPr>
          <w:rFonts w:asciiTheme="majorBidi" w:eastAsia="Times New Roman" w:hAnsiTheme="majorBidi" w:cstheme="majorBidi"/>
          <w:color w:val="000000"/>
          <w:sz w:val="24"/>
          <w:szCs w:val="24"/>
          <w:lang w:val="en"/>
        </w:rPr>
      </w:pPr>
      <w:r w:rsidRPr="00D41398">
        <w:rPr>
          <w:rFonts w:asciiTheme="majorBidi" w:eastAsia="Times New Roman" w:hAnsiTheme="majorBidi" w:cstheme="majorBidi"/>
          <w:b/>
          <w:bCs/>
          <w:color w:val="000000"/>
          <w:sz w:val="24"/>
          <w:szCs w:val="24"/>
        </w:rPr>
        <w:lastRenderedPageBreak/>
        <w:t>Table</w:t>
      </w:r>
      <w:r w:rsidRPr="00D41398">
        <w:rPr>
          <w:rFonts w:asciiTheme="majorBidi" w:eastAsia="Times New Roman" w:hAnsiTheme="majorBidi" w:cstheme="majorBidi"/>
          <w:b/>
          <w:bCs/>
          <w:color w:val="000000"/>
          <w:sz w:val="24"/>
          <w:szCs w:val="24"/>
        </w:rPr>
        <w:t xml:space="preserve"> S3. </w:t>
      </w:r>
      <w:r w:rsidRPr="00D41398">
        <w:rPr>
          <w:rFonts w:asciiTheme="majorBidi" w:eastAsia="Times New Roman" w:hAnsiTheme="majorBidi" w:cstheme="majorBidi"/>
          <w:b/>
          <w:bCs/>
          <w:color w:val="000000"/>
          <w:sz w:val="24"/>
          <w:szCs w:val="24"/>
          <w:lang w:val="en"/>
        </w:rPr>
        <w:t xml:space="preserve"> </w:t>
      </w:r>
      <w:r w:rsidR="00085320" w:rsidRPr="00D7071B">
        <w:rPr>
          <w:rFonts w:asciiTheme="majorBidi" w:eastAsia="Times New Roman" w:hAnsiTheme="majorBidi" w:cstheme="majorBidi"/>
          <w:color w:val="000000"/>
          <w:sz w:val="24"/>
          <w:szCs w:val="24"/>
          <w:lang w:val="en"/>
        </w:rPr>
        <w:t>Quality assessment of the outcomes using GRADE criteria</w:t>
      </w:r>
      <w:r w:rsidR="00E70F59">
        <w:rPr>
          <w:rFonts w:asciiTheme="majorBidi" w:eastAsia="Times New Roman" w:hAnsiTheme="majorBidi" w:cstheme="majorBidi"/>
          <w:color w:val="000000"/>
          <w:sz w:val="24"/>
          <w:szCs w:val="24"/>
          <w:lang w:val="en"/>
        </w:rPr>
        <w:t>.</w:t>
      </w:r>
    </w:p>
    <w:tbl>
      <w:tblPr>
        <w:tblW w:w="5458" w:type="pct"/>
        <w:jc w:val="center"/>
        <w:tblCellMar>
          <w:top w:w="60" w:type="dxa"/>
          <w:left w:w="60" w:type="dxa"/>
          <w:bottom w:w="60" w:type="dxa"/>
          <w:right w:w="60" w:type="dxa"/>
        </w:tblCellMar>
        <w:tblLook w:val="04A0" w:firstRow="1" w:lastRow="0" w:firstColumn="1" w:lastColumn="0" w:noHBand="0" w:noVBand="1"/>
      </w:tblPr>
      <w:tblGrid>
        <w:gridCol w:w="854"/>
        <w:gridCol w:w="1049"/>
        <w:gridCol w:w="1198"/>
        <w:gridCol w:w="1301"/>
        <w:gridCol w:w="1198"/>
        <w:gridCol w:w="1198"/>
        <w:gridCol w:w="1888"/>
        <w:gridCol w:w="1370"/>
        <w:gridCol w:w="1370"/>
        <w:gridCol w:w="1370"/>
        <w:gridCol w:w="1025"/>
        <w:gridCol w:w="1715"/>
        <w:gridCol w:w="1722"/>
      </w:tblGrid>
      <w:tr w:rsidR="00D41398" w:rsidRPr="00417824" w14:paraId="15DDE00C" w14:textId="77777777" w:rsidTr="00D41398">
        <w:trPr>
          <w:cantSplit/>
          <w:trHeight w:val="309"/>
          <w:tblHeader/>
          <w:jc w:val="center"/>
        </w:trPr>
        <w:tc>
          <w:tcPr>
            <w:tcW w:w="2516"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C28C0B" w14:textId="77777777" w:rsidR="00D41398" w:rsidRPr="00417824" w:rsidRDefault="00D41398" w:rsidP="00FD2BA4">
            <w:pPr>
              <w:spacing w:line="240" w:lineRule="auto"/>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Certainty assessment</w:t>
            </w:r>
          </w:p>
        </w:tc>
        <w:tc>
          <w:tcPr>
            <w:tcW w:w="79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835578"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 of patients</w:t>
            </w:r>
          </w:p>
        </w:tc>
        <w:tc>
          <w:tcPr>
            <w:tcW w:w="69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729D68"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Effect</w:t>
            </w:r>
          </w:p>
        </w:tc>
        <w:tc>
          <w:tcPr>
            <w:tcW w:w="49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0D7D31"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Certainty</w:t>
            </w:r>
          </w:p>
        </w:tc>
        <w:tc>
          <w:tcPr>
            <w:tcW w:w="49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88958B"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Importance</w:t>
            </w:r>
          </w:p>
        </w:tc>
      </w:tr>
      <w:tr w:rsidR="00D41398" w:rsidRPr="00417824" w14:paraId="19307006" w14:textId="77777777" w:rsidTr="00D41398">
        <w:trPr>
          <w:cantSplit/>
          <w:trHeight w:val="493"/>
          <w:tblHeader/>
          <w:jc w:val="center"/>
        </w:trPr>
        <w:tc>
          <w:tcPr>
            <w:tcW w:w="24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E8EB12"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 of studies</w:t>
            </w:r>
          </w:p>
        </w:tc>
        <w:tc>
          <w:tcPr>
            <w:tcW w:w="30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8F1304"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Study design</w:t>
            </w:r>
          </w:p>
        </w:tc>
        <w:tc>
          <w:tcPr>
            <w:tcW w:w="34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D9557F"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Risk of bias</w:t>
            </w:r>
          </w:p>
        </w:tc>
        <w:tc>
          <w:tcPr>
            <w:tcW w:w="37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4B1C932"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Inconsistency</w:t>
            </w:r>
          </w:p>
        </w:tc>
        <w:tc>
          <w:tcPr>
            <w:tcW w:w="34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8057C2"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Indirectness</w:t>
            </w:r>
          </w:p>
        </w:tc>
        <w:tc>
          <w:tcPr>
            <w:tcW w:w="34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DB38A16"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Imprecision</w:t>
            </w:r>
          </w:p>
        </w:tc>
        <w:tc>
          <w:tcPr>
            <w:tcW w:w="54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BC55B4F"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Other considerations</w:t>
            </w:r>
          </w:p>
        </w:tc>
        <w:tc>
          <w:tcPr>
            <w:tcW w:w="3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4CE681"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[intervention]</w:t>
            </w:r>
          </w:p>
        </w:tc>
        <w:tc>
          <w:tcPr>
            <w:tcW w:w="3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339FA1"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[comparison]</w:t>
            </w:r>
          </w:p>
        </w:tc>
        <w:tc>
          <w:tcPr>
            <w:tcW w:w="3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7FC93F"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Relative</w:t>
            </w:r>
            <w:r w:rsidRPr="00417824">
              <w:rPr>
                <w:rFonts w:asciiTheme="majorBidi" w:eastAsia="Times New Roman" w:hAnsiTheme="majorBidi" w:cstheme="majorBidi"/>
                <w:b/>
                <w:bCs/>
                <w:color w:val="FFFFFF"/>
                <w:sz w:val="18"/>
                <w:szCs w:val="18"/>
              </w:rPr>
              <w:br/>
              <w:t>(95% CI)</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581CA1" w14:textId="77777777" w:rsidR="00D41398" w:rsidRPr="00417824" w:rsidRDefault="00D41398" w:rsidP="00FD2BA4">
            <w:pPr>
              <w:jc w:val="center"/>
              <w:rPr>
                <w:rFonts w:asciiTheme="majorBidi" w:eastAsia="Times New Roman" w:hAnsiTheme="majorBidi" w:cstheme="majorBidi"/>
                <w:b/>
                <w:bCs/>
                <w:color w:val="FFFFFF"/>
                <w:sz w:val="18"/>
                <w:szCs w:val="18"/>
              </w:rPr>
            </w:pPr>
            <w:r w:rsidRPr="00417824">
              <w:rPr>
                <w:rFonts w:asciiTheme="majorBidi" w:eastAsia="Times New Roman" w:hAnsiTheme="majorBidi" w:cstheme="majorBidi"/>
                <w:b/>
                <w:bCs/>
                <w:color w:val="FFFFFF"/>
                <w:sz w:val="18"/>
                <w:szCs w:val="18"/>
              </w:rPr>
              <w:t>Absolute</w:t>
            </w:r>
            <w:r w:rsidRPr="00417824">
              <w:rPr>
                <w:rFonts w:asciiTheme="majorBidi" w:eastAsia="Times New Roman" w:hAnsiTheme="majorBidi" w:cstheme="majorBidi"/>
                <w:b/>
                <w:bCs/>
                <w:color w:val="FFFFFF"/>
                <w:sz w:val="18"/>
                <w:szCs w:val="18"/>
              </w:rPr>
              <w:br/>
              <w:t>(95% CI)</w:t>
            </w:r>
          </w:p>
        </w:tc>
        <w:tc>
          <w:tcPr>
            <w:tcW w:w="497" w:type="pct"/>
            <w:vMerge/>
            <w:tcBorders>
              <w:top w:val="single" w:sz="12" w:space="0" w:color="FFFFFF"/>
              <w:left w:val="single" w:sz="12" w:space="0" w:color="FFFFFF"/>
              <w:bottom w:val="single" w:sz="12" w:space="0" w:color="FFFFFF"/>
              <w:right w:val="single" w:sz="12" w:space="0" w:color="FFFFFF"/>
            </w:tcBorders>
            <w:vAlign w:val="center"/>
            <w:hideMark/>
          </w:tcPr>
          <w:p w14:paraId="7D4EFC70" w14:textId="77777777" w:rsidR="00D41398" w:rsidRPr="00417824" w:rsidRDefault="00D41398" w:rsidP="00FD2BA4">
            <w:pPr>
              <w:rPr>
                <w:rFonts w:asciiTheme="majorBidi" w:eastAsia="Times New Roman" w:hAnsiTheme="majorBidi" w:cstheme="majorBidi"/>
                <w:b/>
                <w:bCs/>
                <w:color w:val="FFFFFF"/>
                <w:sz w:val="18"/>
                <w:szCs w:val="18"/>
              </w:rPr>
            </w:pPr>
          </w:p>
        </w:tc>
        <w:tc>
          <w:tcPr>
            <w:tcW w:w="497" w:type="pct"/>
            <w:vMerge/>
            <w:tcBorders>
              <w:top w:val="single" w:sz="12" w:space="0" w:color="FFFFFF"/>
              <w:left w:val="single" w:sz="12" w:space="0" w:color="FFFFFF"/>
              <w:bottom w:val="single" w:sz="12" w:space="0" w:color="FFFFFF"/>
              <w:right w:val="single" w:sz="12" w:space="0" w:color="FFFFFF"/>
            </w:tcBorders>
            <w:vAlign w:val="center"/>
            <w:hideMark/>
          </w:tcPr>
          <w:p w14:paraId="5A375E7B" w14:textId="77777777" w:rsidR="00D41398" w:rsidRPr="00417824" w:rsidRDefault="00D41398" w:rsidP="00FD2BA4">
            <w:pPr>
              <w:rPr>
                <w:rFonts w:asciiTheme="majorBidi" w:eastAsia="Times New Roman" w:hAnsiTheme="majorBidi" w:cstheme="majorBidi"/>
                <w:b/>
                <w:bCs/>
                <w:color w:val="FFFFFF"/>
                <w:sz w:val="18"/>
                <w:szCs w:val="18"/>
              </w:rPr>
            </w:pPr>
          </w:p>
        </w:tc>
      </w:tr>
      <w:tr w:rsidR="00D41398" w:rsidRPr="00417824" w14:paraId="0FEE87E7"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724659C3"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 xml:space="preserve">The incidence of prediabetes reversion to normoglycemia </w:t>
            </w:r>
          </w:p>
        </w:tc>
      </w:tr>
      <w:tr w:rsidR="00D41398" w:rsidRPr="00417824" w14:paraId="22E99823" w14:textId="77777777" w:rsidTr="00D41398">
        <w:trPr>
          <w:cantSplit/>
          <w:trHeight w:val="1026"/>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4CE05859"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9</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55AA2759"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BB45313"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4FE4069F"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a</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9DEF26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b</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9054D4D"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5B7369B3"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75AAD31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 xml:space="preserve">2000/2817 (71.0%) </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35700141"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550/1348 (40.8%) </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24ECD895" w14:textId="77777777" w:rsidR="00D41398" w:rsidRPr="00417824" w:rsidRDefault="00D41398" w:rsidP="00FD2BA4">
            <w:pPr>
              <w:jc w:val="center"/>
              <w:rPr>
                <w:rFonts w:asciiTheme="majorBidi" w:eastAsia="Times New Roman" w:hAnsiTheme="majorBidi" w:cstheme="majorBidi"/>
                <w:sz w:val="18"/>
                <w:szCs w:val="18"/>
              </w:rPr>
            </w:pPr>
            <w:r w:rsidRPr="00417824">
              <w:rPr>
                <w:rStyle w:val="block"/>
                <w:rFonts w:asciiTheme="majorBidi" w:eastAsia="Times New Roman" w:hAnsiTheme="majorBidi" w:cstheme="majorBidi"/>
                <w:b/>
                <w:bCs/>
                <w:sz w:val="18"/>
                <w:szCs w:val="18"/>
              </w:rPr>
              <w:t>RR 1.76</w:t>
            </w:r>
            <w:r w:rsidRPr="00417824">
              <w:rPr>
                <w:rFonts w:asciiTheme="majorBidi" w:eastAsia="Times New Roman" w:hAnsiTheme="majorBidi" w:cstheme="majorBidi"/>
                <w:sz w:val="18"/>
                <w:szCs w:val="18"/>
              </w:rPr>
              <w:br/>
            </w:r>
            <w:r w:rsidRPr="00417824">
              <w:rPr>
                <w:rStyle w:val="cell"/>
                <w:rFonts w:asciiTheme="majorBidi" w:eastAsia="Times New Roman" w:hAnsiTheme="majorBidi" w:cstheme="majorBidi"/>
                <w:sz w:val="18"/>
                <w:szCs w:val="18"/>
              </w:rPr>
              <w:t>(1.45 to 2.13)</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2D3D87EC"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b/>
                <w:bCs/>
                <w:sz w:val="18"/>
                <w:szCs w:val="18"/>
              </w:rPr>
              <w:t>310 more per 1,000</w:t>
            </w:r>
            <w:r w:rsidRPr="00417824">
              <w:rPr>
                <w:rFonts w:asciiTheme="majorBidi" w:eastAsia="Times New Roman" w:hAnsiTheme="majorBidi" w:cstheme="majorBidi"/>
                <w:sz w:val="18"/>
                <w:szCs w:val="18"/>
              </w:rPr>
              <w:br/>
              <w:t>(from 184 more to 461 more)</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2C9440A0"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Low</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4E801670"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63B1EE1D" w14:textId="77777777" w:rsidTr="00D41398">
        <w:trPr>
          <w:cantSplit/>
          <w:trHeight w:val="319"/>
          <w:jc w:val="center"/>
        </w:trPr>
        <w:tc>
          <w:tcPr>
            <w:tcW w:w="5000" w:type="pct"/>
            <w:gridSpan w:val="13"/>
            <w:shd w:val="clear" w:color="auto" w:fill="FFFFFF"/>
            <w:tcMar>
              <w:top w:w="75" w:type="dxa"/>
              <w:left w:w="60" w:type="dxa"/>
              <w:bottom w:w="60" w:type="dxa"/>
              <w:right w:w="60" w:type="dxa"/>
            </w:tcMar>
            <w:vAlign w:val="center"/>
            <w:hideMark/>
          </w:tcPr>
          <w:p w14:paraId="767E3B32"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 xml:space="preserve">The incidence of new-onset diabetes </w:t>
            </w:r>
          </w:p>
        </w:tc>
      </w:tr>
      <w:tr w:rsidR="00D41398" w:rsidRPr="00417824" w14:paraId="4FC9BD32" w14:textId="77777777" w:rsidTr="00D41398">
        <w:trPr>
          <w:cantSplit/>
          <w:trHeight w:val="1026"/>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3C08BF9A"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6</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36AB5475"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65D3DA5A"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0B6CA45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61E9317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b</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4A1B5AE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167A298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6797037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 xml:space="preserve">31/2557 (1.2%) </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276BEE21"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58/1258 (4.6%) </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729B26ED" w14:textId="77777777" w:rsidR="00D41398" w:rsidRPr="00417824" w:rsidRDefault="00D41398" w:rsidP="00FD2BA4">
            <w:pPr>
              <w:jc w:val="center"/>
              <w:rPr>
                <w:rFonts w:asciiTheme="majorBidi" w:eastAsia="Times New Roman" w:hAnsiTheme="majorBidi" w:cstheme="majorBidi"/>
                <w:sz w:val="18"/>
                <w:szCs w:val="18"/>
              </w:rPr>
            </w:pPr>
            <w:r w:rsidRPr="00417824">
              <w:rPr>
                <w:rStyle w:val="block"/>
                <w:rFonts w:asciiTheme="majorBidi" w:eastAsia="Times New Roman" w:hAnsiTheme="majorBidi" w:cstheme="majorBidi"/>
                <w:b/>
                <w:bCs/>
                <w:sz w:val="18"/>
                <w:szCs w:val="18"/>
              </w:rPr>
              <w:t>RR 0.28</w:t>
            </w:r>
            <w:r w:rsidRPr="00417824">
              <w:rPr>
                <w:rFonts w:asciiTheme="majorBidi" w:eastAsia="Times New Roman" w:hAnsiTheme="majorBidi" w:cstheme="majorBidi"/>
                <w:sz w:val="18"/>
                <w:szCs w:val="18"/>
              </w:rPr>
              <w:br/>
            </w:r>
            <w:r w:rsidRPr="00417824">
              <w:rPr>
                <w:rStyle w:val="cell"/>
                <w:rFonts w:asciiTheme="majorBidi" w:eastAsia="Times New Roman" w:hAnsiTheme="majorBidi" w:cstheme="majorBidi"/>
                <w:sz w:val="18"/>
                <w:szCs w:val="18"/>
              </w:rPr>
              <w:t>(0.19 to 0.43)</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4531421E"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b/>
                <w:bCs/>
                <w:sz w:val="18"/>
                <w:szCs w:val="18"/>
              </w:rPr>
              <w:t>33 fewer per 1,000</w:t>
            </w:r>
            <w:r w:rsidRPr="00417824">
              <w:rPr>
                <w:rFonts w:asciiTheme="majorBidi" w:eastAsia="Times New Roman" w:hAnsiTheme="majorBidi" w:cstheme="majorBidi"/>
                <w:sz w:val="18"/>
                <w:szCs w:val="18"/>
              </w:rPr>
              <w:br/>
              <w:t>(from 37 fewer to 26 fewer)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0DC241A8"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Moderate</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705D8BD1"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1226F5BE"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096C1324"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FPG</w:t>
            </w:r>
          </w:p>
        </w:tc>
      </w:tr>
      <w:tr w:rsidR="00D41398" w:rsidRPr="00417824" w14:paraId="465DE7A4" w14:textId="77777777" w:rsidTr="00D41398">
        <w:trPr>
          <w:cantSplit/>
          <w:trHeight w:val="1394"/>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7BAE2D32"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6</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6408D9B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42941EF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47749E0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5FDF6A8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905A949"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093C27DF"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strong association</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63D23B0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2636</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132F4B0C"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1297</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185EB420"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0430DBE9"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8 mg/dl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(8.76 lower to 7.23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61713A88"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High</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4FDF58C9"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74B8350E"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1B8C6981"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HbA1c</w:t>
            </w:r>
          </w:p>
        </w:tc>
      </w:tr>
      <w:tr w:rsidR="00D41398" w:rsidRPr="00417824" w14:paraId="0BDBF045" w14:textId="77777777" w:rsidTr="00D41398">
        <w:trPr>
          <w:cantSplit/>
          <w:trHeight w:val="1219"/>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59D846F5"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6</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5926FBFF"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479E3B0E"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1C4C64A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d</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39BD0E1D"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24D34D0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593E9487"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0D4E57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2568</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1274120D"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1274</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09E52DF4"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3820AA14"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0.29 %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(0.36 lower to 0.23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5829A332"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Low</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50669E83"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1C6EA898"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0F9D3108"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Weight loss</w:t>
            </w:r>
          </w:p>
        </w:tc>
      </w:tr>
      <w:tr w:rsidR="00D41398" w:rsidRPr="00417824" w14:paraId="6FEC8BD2" w14:textId="77777777" w:rsidTr="00D41398">
        <w:trPr>
          <w:cantSplit/>
          <w:trHeight w:val="1210"/>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5C469AE5"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8</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1BB12E9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7542F5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73A80A9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very serious</w:t>
            </w:r>
            <w:r w:rsidRPr="00417824">
              <w:rPr>
                <w:rFonts w:asciiTheme="majorBidi" w:eastAsia="Times New Roman" w:hAnsiTheme="majorBidi" w:cstheme="majorBidi"/>
                <w:sz w:val="18"/>
                <w:szCs w:val="18"/>
                <w:vertAlign w:val="superscript"/>
              </w:rPr>
              <w:t>e</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0AA5C4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2A2F684"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f</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70D82747"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2F67BC6A"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2636</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39B3FE75"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1297</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4935A113"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29713630"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6.38 kg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(9.64 lower to 3.12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77389292"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Very low</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505BE1A6"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4BF993E6"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60BCF46B"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 xml:space="preserve">Waist circumference </w:t>
            </w:r>
          </w:p>
        </w:tc>
      </w:tr>
      <w:tr w:rsidR="00D41398" w:rsidRPr="00417824" w14:paraId="2EDB6F8B" w14:textId="77777777" w:rsidTr="00D41398">
        <w:trPr>
          <w:cantSplit/>
          <w:trHeight w:val="1035"/>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40ABAF07"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4</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15667C8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7C430D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5C92943A"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E4D5307"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7772B33"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31C146E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EC8E93F"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1543</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CA908FA"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822</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BCA38A8"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77EC7D10"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3.41 cm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(4.03 lower to 2.8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4686CE91"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Moderate</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3CAF5EFA"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0FB530F5"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3352EF5A"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TG</w:t>
            </w:r>
          </w:p>
        </w:tc>
      </w:tr>
      <w:tr w:rsidR="00D41398" w:rsidRPr="00417824" w14:paraId="60712498" w14:textId="77777777" w:rsidTr="00D41398">
        <w:trPr>
          <w:cantSplit/>
          <w:trHeight w:val="1394"/>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3523D1A4"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5</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3A2E419E"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B98175A"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34C4A014"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63DE492"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3F76B5EB"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482DBC08"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1D935992"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1564</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38E007A3"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843</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0591CAA4"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4517A190"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9.28 mg/dl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(12.77 lower to 5.78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369DDCB1"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Moderate</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612841CC"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61FB9C52"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6F95D43A"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 xml:space="preserve">LDL </w:t>
            </w:r>
          </w:p>
        </w:tc>
      </w:tr>
      <w:tr w:rsidR="00D41398" w:rsidRPr="00417824" w14:paraId="3112B0FD" w14:textId="77777777" w:rsidTr="00D41398">
        <w:trPr>
          <w:cantSplit/>
          <w:trHeight w:val="1394"/>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0CA8DB52"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5</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44F290FC"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28B0F63B"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27E2F16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4852D5B4"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2CDD2E76"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3C4C371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publication bias strongly suspected</w:t>
            </w:r>
            <w:r w:rsidRPr="00417824">
              <w:rPr>
                <w:rFonts w:asciiTheme="majorBidi" w:eastAsia="Times New Roman" w:hAnsiTheme="majorBidi" w:cstheme="majorBidi"/>
                <w:sz w:val="18"/>
                <w:szCs w:val="18"/>
                <w:vertAlign w:val="superscript"/>
              </w:rPr>
              <w:t>g</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2E9449E"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1564</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59FA3923"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843</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6F6EE873"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0CD883D5"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3.21 mg/dl lower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(5.29 lower to 1.13 lower)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69464630"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Low</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47FF880A" w14:textId="77777777" w:rsidR="00D41398" w:rsidRPr="00417824" w:rsidRDefault="00D41398" w:rsidP="00FD2BA4">
            <w:pPr>
              <w:jc w:val="center"/>
              <w:rPr>
                <w:rFonts w:asciiTheme="majorBidi" w:eastAsia="Times New Roman" w:hAnsiTheme="majorBidi" w:cstheme="majorBidi"/>
                <w:sz w:val="18"/>
                <w:szCs w:val="18"/>
              </w:rPr>
            </w:pPr>
          </w:p>
        </w:tc>
      </w:tr>
      <w:tr w:rsidR="00D41398" w:rsidRPr="00417824" w14:paraId="2828C9EF" w14:textId="77777777" w:rsidTr="00D41398">
        <w:trPr>
          <w:cantSplit/>
          <w:trHeight w:val="309"/>
          <w:jc w:val="center"/>
        </w:trPr>
        <w:tc>
          <w:tcPr>
            <w:tcW w:w="5000" w:type="pct"/>
            <w:gridSpan w:val="13"/>
            <w:shd w:val="clear" w:color="auto" w:fill="FFFFFF"/>
            <w:tcMar>
              <w:top w:w="75" w:type="dxa"/>
              <w:left w:w="60" w:type="dxa"/>
              <w:bottom w:w="60" w:type="dxa"/>
              <w:right w:w="60" w:type="dxa"/>
            </w:tcMar>
            <w:vAlign w:val="center"/>
            <w:hideMark/>
          </w:tcPr>
          <w:p w14:paraId="351CAD15" w14:textId="77777777" w:rsidR="00D41398" w:rsidRPr="00417824" w:rsidRDefault="00D41398" w:rsidP="00FD2BA4">
            <w:pPr>
              <w:rPr>
                <w:rFonts w:asciiTheme="majorBidi" w:eastAsia="Times New Roman" w:hAnsiTheme="majorBidi" w:cstheme="majorBidi"/>
                <w:b/>
                <w:bCs/>
                <w:color w:val="000000"/>
                <w:sz w:val="18"/>
                <w:szCs w:val="18"/>
              </w:rPr>
            </w:pPr>
            <w:r w:rsidRPr="00417824">
              <w:rPr>
                <w:rStyle w:val="label"/>
                <w:rFonts w:asciiTheme="majorBidi" w:eastAsia="Times New Roman" w:hAnsiTheme="majorBidi" w:cstheme="majorBidi"/>
                <w:b/>
                <w:bCs/>
                <w:color w:val="000000"/>
                <w:sz w:val="18"/>
                <w:szCs w:val="18"/>
              </w:rPr>
              <w:t>HDL</w:t>
            </w:r>
          </w:p>
        </w:tc>
      </w:tr>
      <w:tr w:rsidR="00D41398" w:rsidRPr="00417824" w14:paraId="39E019D0" w14:textId="77777777" w:rsidTr="00D41398">
        <w:trPr>
          <w:cantSplit/>
          <w:trHeight w:val="1219"/>
          <w:jc w:val="center"/>
        </w:trPr>
        <w:tc>
          <w:tcPr>
            <w:tcW w:w="247" w:type="pct"/>
            <w:tcBorders>
              <w:top w:val="single" w:sz="6" w:space="0" w:color="000000"/>
              <w:left w:val="single" w:sz="6" w:space="0" w:color="000000"/>
              <w:bottom w:val="single" w:sz="6" w:space="0" w:color="000000"/>
              <w:right w:val="single" w:sz="6" w:space="0" w:color="000000"/>
            </w:tcBorders>
            <w:vAlign w:val="center"/>
            <w:hideMark/>
          </w:tcPr>
          <w:p w14:paraId="3FD79E5B"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5</w:t>
            </w:r>
          </w:p>
        </w:tc>
        <w:tc>
          <w:tcPr>
            <w:tcW w:w="304" w:type="pct"/>
            <w:tcBorders>
              <w:top w:val="single" w:sz="6" w:space="0" w:color="000000"/>
              <w:left w:val="single" w:sz="6" w:space="0" w:color="000000"/>
              <w:bottom w:val="single" w:sz="6" w:space="0" w:color="000000"/>
              <w:right w:val="single" w:sz="6" w:space="0" w:color="000000"/>
            </w:tcBorders>
            <w:vAlign w:val="center"/>
            <w:hideMark/>
          </w:tcPr>
          <w:p w14:paraId="4DE2DC4E"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randomised trials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32A6E9C"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not serious</w:t>
            </w:r>
          </w:p>
        </w:tc>
        <w:tc>
          <w:tcPr>
            <w:tcW w:w="377" w:type="pct"/>
            <w:tcBorders>
              <w:top w:val="single" w:sz="6" w:space="0" w:color="000000"/>
              <w:left w:val="single" w:sz="6" w:space="0" w:color="000000"/>
              <w:bottom w:val="single" w:sz="6" w:space="0" w:color="000000"/>
              <w:right w:val="single" w:sz="6" w:space="0" w:color="000000"/>
            </w:tcBorders>
            <w:vAlign w:val="center"/>
            <w:hideMark/>
          </w:tcPr>
          <w:p w14:paraId="5DE21B14"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d</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4635C840"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c</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8500E01"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serious</w:t>
            </w:r>
            <w:r w:rsidRPr="00417824">
              <w:rPr>
                <w:rFonts w:asciiTheme="majorBidi" w:eastAsia="Times New Roman" w:hAnsiTheme="majorBidi" w:cstheme="majorBidi"/>
                <w:sz w:val="18"/>
                <w:szCs w:val="18"/>
                <w:vertAlign w:val="superscript"/>
              </w:rPr>
              <w:t>f</w:t>
            </w:r>
          </w:p>
        </w:tc>
        <w:tc>
          <w:tcPr>
            <w:tcW w:w="547" w:type="pct"/>
            <w:tcBorders>
              <w:top w:val="single" w:sz="6" w:space="0" w:color="000000"/>
              <w:left w:val="single" w:sz="6" w:space="0" w:color="000000"/>
              <w:bottom w:val="single" w:sz="6" w:space="0" w:color="000000"/>
              <w:right w:val="single" w:sz="6" w:space="0" w:color="000000"/>
            </w:tcBorders>
            <w:vAlign w:val="center"/>
            <w:hideMark/>
          </w:tcPr>
          <w:p w14:paraId="5235EC2B"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none</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79B2031C" w14:textId="77777777" w:rsidR="00D41398" w:rsidRPr="00417824" w:rsidRDefault="00D41398" w:rsidP="00FD2BA4">
            <w:pPr>
              <w:jc w:val="center"/>
              <w:rPr>
                <w:rFonts w:asciiTheme="majorBidi" w:eastAsia="Times New Roman" w:hAnsiTheme="majorBidi" w:cstheme="majorBidi"/>
                <w:sz w:val="18"/>
                <w:szCs w:val="18"/>
              </w:rPr>
            </w:pPr>
            <w:r w:rsidRPr="00417824">
              <w:rPr>
                <w:rFonts w:asciiTheme="majorBidi" w:eastAsia="Times New Roman" w:hAnsiTheme="majorBidi" w:cstheme="majorBidi"/>
                <w:sz w:val="18"/>
                <w:szCs w:val="18"/>
              </w:rPr>
              <w:t>1564</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3D2E530A"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843</w:t>
            </w:r>
          </w:p>
        </w:tc>
        <w:tc>
          <w:tcPr>
            <w:tcW w:w="397" w:type="pct"/>
            <w:tcBorders>
              <w:top w:val="single" w:sz="6" w:space="0" w:color="000000"/>
              <w:left w:val="single" w:sz="6" w:space="0" w:color="000000"/>
              <w:bottom w:val="single" w:sz="6" w:space="0" w:color="000000"/>
              <w:right w:val="single" w:sz="6" w:space="0" w:color="000000"/>
            </w:tcBorders>
            <w:vAlign w:val="center"/>
            <w:hideMark/>
          </w:tcPr>
          <w:p w14:paraId="353488DD"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
                <w:rFonts w:asciiTheme="majorBidi" w:eastAsia="Times New Roman" w:hAnsiTheme="majorBidi" w:cstheme="majorBidi"/>
                <w:sz w:val="18"/>
                <w:szCs w:val="18"/>
              </w:rPr>
              <w:t>-</w:t>
            </w:r>
          </w:p>
        </w:tc>
        <w:tc>
          <w:tcPr>
            <w:tcW w:w="297" w:type="pct"/>
            <w:tcBorders>
              <w:top w:val="single" w:sz="6" w:space="0" w:color="000000"/>
              <w:left w:val="single" w:sz="6" w:space="0" w:color="000000"/>
              <w:bottom w:val="single" w:sz="6" w:space="0" w:color="000000"/>
              <w:right w:val="single" w:sz="6" w:space="0" w:color="000000"/>
            </w:tcBorders>
            <w:vAlign w:val="center"/>
            <w:hideMark/>
          </w:tcPr>
          <w:p w14:paraId="3B736525" w14:textId="77777777" w:rsidR="00D41398" w:rsidRPr="00417824" w:rsidRDefault="00D41398" w:rsidP="00FD2BA4">
            <w:pPr>
              <w:jc w:val="center"/>
              <w:rPr>
                <w:rFonts w:asciiTheme="majorBidi" w:eastAsia="Times New Roman" w:hAnsiTheme="majorBidi" w:cstheme="majorBidi"/>
                <w:sz w:val="18"/>
                <w:szCs w:val="18"/>
              </w:rPr>
            </w:pPr>
            <w:r w:rsidRPr="00417824">
              <w:rPr>
                <w:rStyle w:val="cell-value"/>
                <w:rFonts w:asciiTheme="majorBidi" w:eastAsia="Times New Roman" w:hAnsiTheme="majorBidi" w:cstheme="majorBidi"/>
                <w:sz w:val="18"/>
                <w:szCs w:val="18"/>
              </w:rPr>
              <w:t xml:space="preserve">MD </w:t>
            </w:r>
            <w:r w:rsidRPr="00417824">
              <w:rPr>
                <w:rStyle w:val="cell-value"/>
                <w:rFonts w:asciiTheme="majorBidi" w:eastAsia="Times New Roman" w:hAnsiTheme="majorBidi" w:cstheme="majorBidi"/>
                <w:b/>
                <w:bCs/>
                <w:sz w:val="18"/>
                <w:szCs w:val="18"/>
              </w:rPr>
              <w:t>0.82 mg/dl higher</w:t>
            </w:r>
            <w:r w:rsidRPr="00417824">
              <w:rPr>
                <w:rFonts w:asciiTheme="majorBidi" w:eastAsia="Times New Roman" w:hAnsiTheme="majorBidi" w:cstheme="majorBidi"/>
                <w:sz w:val="18"/>
                <w:szCs w:val="18"/>
              </w:rPr>
              <w:br/>
            </w:r>
            <w:r w:rsidRPr="00417824">
              <w:rPr>
                <w:rStyle w:val="cell-value"/>
                <w:rFonts w:asciiTheme="majorBidi" w:eastAsia="Times New Roman" w:hAnsiTheme="majorBidi" w:cstheme="majorBidi"/>
                <w:sz w:val="18"/>
                <w:szCs w:val="18"/>
              </w:rPr>
              <w:t>(1.46 lower to 3.1 higher)</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54FC14A2" w14:textId="77777777" w:rsidR="00D41398" w:rsidRPr="00417824" w:rsidRDefault="00D41398" w:rsidP="00FD2BA4">
            <w:pPr>
              <w:jc w:val="center"/>
              <w:rPr>
                <w:rFonts w:asciiTheme="majorBidi" w:eastAsia="Times New Roman" w:hAnsiTheme="majorBidi" w:cstheme="majorBidi"/>
                <w:sz w:val="18"/>
                <w:szCs w:val="18"/>
              </w:rPr>
            </w:pPr>
            <w:r w:rsidRPr="00417824">
              <w:rPr>
                <w:rStyle w:val="quality-sign"/>
                <w:rFonts w:ascii="Cambria Math" w:eastAsia="Times New Roman" w:hAnsi="Cambria Math" w:cs="Cambria Math"/>
                <w:sz w:val="18"/>
                <w:szCs w:val="18"/>
              </w:rPr>
              <w:t>⨁◯◯◯</w:t>
            </w:r>
            <w:r w:rsidRPr="00417824">
              <w:rPr>
                <w:rFonts w:asciiTheme="majorBidi" w:eastAsia="Times New Roman" w:hAnsiTheme="majorBidi" w:cstheme="majorBidi"/>
                <w:sz w:val="18"/>
                <w:szCs w:val="18"/>
              </w:rPr>
              <w:br/>
            </w:r>
            <w:r w:rsidRPr="00417824">
              <w:rPr>
                <w:rStyle w:val="quality-text"/>
                <w:rFonts w:asciiTheme="majorBidi" w:eastAsia="Times New Roman" w:hAnsiTheme="majorBidi" w:cstheme="majorBidi"/>
                <w:sz w:val="18"/>
                <w:szCs w:val="18"/>
              </w:rPr>
              <w:t>Very low</w:t>
            </w:r>
          </w:p>
        </w:tc>
        <w:tc>
          <w:tcPr>
            <w:tcW w:w="497" w:type="pct"/>
            <w:tcBorders>
              <w:top w:val="single" w:sz="6" w:space="0" w:color="000000"/>
              <w:left w:val="single" w:sz="6" w:space="0" w:color="000000"/>
              <w:bottom w:val="single" w:sz="6" w:space="0" w:color="000000"/>
              <w:right w:val="single" w:sz="6" w:space="0" w:color="000000"/>
            </w:tcBorders>
            <w:vAlign w:val="center"/>
            <w:hideMark/>
          </w:tcPr>
          <w:p w14:paraId="65B05CAC" w14:textId="77777777" w:rsidR="00D41398" w:rsidRPr="00417824" w:rsidRDefault="00D41398" w:rsidP="00FD2BA4">
            <w:pPr>
              <w:jc w:val="center"/>
              <w:rPr>
                <w:rFonts w:asciiTheme="majorBidi" w:eastAsia="Times New Roman" w:hAnsiTheme="majorBidi" w:cstheme="majorBidi"/>
                <w:sz w:val="18"/>
                <w:szCs w:val="18"/>
              </w:rPr>
            </w:pPr>
          </w:p>
        </w:tc>
      </w:tr>
    </w:tbl>
    <w:p w14:paraId="654B068B" w14:textId="77777777" w:rsidR="00D41398" w:rsidRPr="00417824" w:rsidRDefault="00D41398" w:rsidP="00D41398">
      <w:pPr>
        <w:pStyle w:val="NormalWeb"/>
        <w:spacing w:line="140" w:lineRule="atLeast"/>
        <w:rPr>
          <w:rFonts w:asciiTheme="majorBidi" w:hAnsiTheme="majorBidi" w:cstheme="majorBidi"/>
          <w:color w:val="000000"/>
          <w:sz w:val="16"/>
          <w:szCs w:val="16"/>
          <w:lang w:val="en"/>
        </w:rPr>
      </w:pPr>
      <w:r w:rsidRPr="00417824">
        <w:rPr>
          <w:rFonts w:asciiTheme="majorBidi" w:hAnsiTheme="majorBidi" w:cstheme="majorBidi"/>
          <w:b/>
          <w:bCs/>
          <w:color w:val="000000"/>
          <w:sz w:val="16"/>
          <w:szCs w:val="16"/>
          <w:lang w:val="en"/>
        </w:rPr>
        <w:t>CI:</w:t>
      </w:r>
      <w:r w:rsidRPr="00417824">
        <w:rPr>
          <w:rFonts w:asciiTheme="majorBidi" w:hAnsiTheme="majorBidi" w:cstheme="majorBidi"/>
          <w:color w:val="000000"/>
          <w:sz w:val="16"/>
          <w:szCs w:val="16"/>
          <w:lang w:val="en"/>
        </w:rPr>
        <w:t xml:space="preserve"> confidence interval; </w:t>
      </w:r>
      <w:r w:rsidRPr="00417824">
        <w:rPr>
          <w:rFonts w:asciiTheme="majorBidi" w:hAnsiTheme="majorBidi" w:cstheme="majorBidi"/>
          <w:b/>
          <w:bCs/>
          <w:color w:val="000000"/>
          <w:sz w:val="16"/>
          <w:szCs w:val="16"/>
          <w:lang w:val="en"/>
        </w:rPr>
        <w:t>MD:</w:t>
      </w:r>
      <w:r w:rsidRPr="00417824">
        <w:rPr>
          <w:rFonts w:asciiTheme="majorBidi" w:hAnsiTheme="majorBidi" w:cstheme="majorBidi"/>
          <w:color w:val="000000"/>
          <w:sz w:val="16"/>
          <w:szCs w:val="16"/>
          <w:lang w:val="en"/>
        </w:rPr>
        <w:t xml:space="preserve"> mean difference; </w:t>
      </w:r>
      <w:r w:rsidRPr="00417824">
        <w:rPr>
          <w:rFonts w:asciiTheme="majorBidi" w:hAnsiTheme="majorBidi" w:cstheme="majorBidi"/>
          <w:b/>
          <w:bCs/>
          <w:color w:val="000000"/>
          <w:sz w:val="16"/>
          <w:szCs w:val="16"/>
          <w:lang w:val="en"/>
        </w:rPr>
        <w:t>RR:</w:t>
      </w:r>
      <w:r w:rsidRPr="00417824">
        <w:rPr>
          <w:rFonts w:asciiTheme="majorBidi" w:hAnsiTheme="majorBidi" w:cstheme="majorBidi"/>
          <w:color w:val="000000"/>
          <w:sz w:val="16"/>
          <w:szCs w:val="16"/>
          <w:lang w:val="en"/>
        </w:rPr>
        <w:t xml:space="preserve"> risk ratio</w:t>
      </w:r>
    </w:p>
    <w:p w14:paraId="0A46F55D" w14:textId="77777777" w:rsidR="00D41398" w:rsidRPr="00417824" w:rsidRDefault="00D41398" w:rsidP="00D41398">
      <w:pPr>
        <w:pStyle w:val="Heading4"/>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Explanations</w:t>
      </w:r>
    </w:p>
    <w:p w14:paraId="5F3FB5B8"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 xml:space="preserve">a. High heterogeneity, which could be partially explained by the different follow-up durations </w:t>
      </w:r>
    </w:p>
    <w:p w14:paraId="2A2B31E1"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b. Different doses, durations of follow-up, and GLP-1RAs agents. However, subgroup analyses for these variables were conducted</w:t>
      </w:r>
    </w:p>
    <w:p w14:paraId="56255D01"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c. Different doses and GLP-1RA agents. However, subgroup analyses for these variables were conducted</w:t>
      </w:r>
    </w:p>
    <w:p w14:paraId="726DC827"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 xml:space="preserve">d. High heterogeneity, which could be partially explained by the different GLP-11RA agents </w:t>
      </w:r>
    </w:p>
    <w:p w14:paraId="78A4635F"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e. Very high heterogeneity</w:t>
      </w:r>
    </w:p>
    <w:p w14:paraId="5585203B"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f. Confidence intervals do not overlap</w:t>
      </w:r>
    </w:p>
    <w:p w14:paraId="6F3266D9" w14:textId="77777777" w:rsidR="00D41398" w:rsidRPr="00417824" w:rsidRDefault="00D41398" w:rsidP="00D41398">
      <w:pPr>
        <w:spacing w:line="140" w:lineRule="atLeast"/>
        <w:rPr>
          <w:rFonts w:asciiTheme="majorBidi" w:eastAsia="Times New Roman" w:hAnsiTheme="majorBidi" w:cstheme="majorBidi"/>
          <w:color w:val="000000"/>
          <w:sz w:val="16"/>
          <w:szCs w:val="16"/>
          <w:lang w:val="en"/>
        </w:rPr>
      </w:pPr>
      <w:r w:rsidRPr="00417824">
        <w:rPr>
          <w:rFonts w:asciiTheme="majorBidi" w:eastAsia="Times New Roman" w:hAnsiTheme="majorBidi" w:cstheme="majorBidi"/>
          <w:color w:val="000000"/>
          <w:sz w:val="16"/>
          <w:szCs w:val="16"/>
          <w:lang w:val="en"/>
        </w:rPr>
        <w:t xml:space="preserve">g. Egger's test (P = 0.023). However, After applying the trim-and-fill method, no significant effect was noticed on the pooled estimate </w:t>
      </w:r>
    </w:p>
    <w:p w14:paraId="2FFAE279" w14:textId="12449C1F" w:rsidR="00D41398" w:rsidRPr="00D41398" w:rsidRDefault="00D41398" w:rsidP="00D41398">
      <w:pPr>
        <w:ind w:firstLine="720"/>
        <w:rPr>
          <w:rFonts w:asciiTheme="majorBidi" w:hAnsiTheme="majorBidi" w:cstheme="majorBidi"/>
          <w:lang w:val="en"/>
        </w:rPr>
      </w:pPr>
    </w:p>
    <w:p w14:paraId="0A394359" w14:textId="46CF1AD1" w:rsidR="00D41398" w:rsidRPr="00D41398" w:rsidRDefault="00D41398" w:rsidP="00D41398">
      <w:pPr>
        <w:tabs>
          <w:tab w:val="left" w:pos="756"/>
        </w:tabs>
        <w:rPr>
          <w:rFonts w:asciiTheme="majorBidi" w:hAnsiTheme="majorBidi" w:cstheme="majorBidi"/>
        </w:rPr>
        <w:sectPr w:rsidR="00D41398" w:rsidRPr="00D41398" w:rsidSect="00D41398">
          <w:pgSz w:w="18720" w:h="27360" w:code="3"/>
          <w:pgMar w:top="1440" w:right="1440" w:bottom="1440" w:left="1440" w:header="720" w:footer="720" w:gutter="0"/>
          <w:cols w:space="720"/>
          <w:docGrid w:linePitch="360"/>
        </w:sectPr>
      </w:pPr>
      <w:r>
        <w:rPr>
          <w:rFonts w:asciiTheme="majorBidi" w:hAnsiTheme="majorBidi" w:cstheme="majorBidi"/>
        </w:rPr>
        <w:tab/>
      </w:r>
    </w:p>
    <w:p w14:paraId="766B1207" w14:textId="023399BC" w:rsidR="000A1862" w:rsidRPr="000A1862" w:rsidRDefault="000A1862" w:rsidP="000A1862">
      <w:pPr>
        <w:rPr>
          <w:rFonts w:asciiTheme="majorBidi" w:hAnsiTheme="majorBidi" w:cstheme="majorBidi"/>
        </w:rPr>
      </w:pPr>
    </w:p>
    <w:p w14:paraId="049F9540" w14:textId="77777777" w:rsidR="000A1862" w:rsidRPr="000A1862" w:rsidRDefault="000A1862" w:rsidP="000A1862">
      <w:pPr>
        <w:jc w:val="center"/>
        <w:rPr>
          <w:rFonts w:asciiTheme="majorBidi" w:hAnsiTheme="majorBidi" w:cstheme="majorBidi"/>
        </w:rPr>
      </w:pPr>
      <w:r w:rsidRPr="000A1862">
        <w:rPr>
          <w:rFonts w:asciiTheme="majorBidi" w:hAnsiTheme="majorBidi" w:cstheme="majorBidi"/>
          <w:noProof/>
        </w:rPr>
        <w:drawing>
          <wp:inline distT="0" distB="0" distL="0" distR="0" wp14:anchorId="3A667632" wp14:editId="07D13901">
            <wp:extent cx="4361815" cy="82296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4361815" cy="8229600"/>
                    </a:xfrm>
                    <a:prstGeom prst="rect">
                      <a:avLst/>
                    </a:prstGeom>
                  </pic:spPr>
                </pic:pic>
              </a:graphicData>
            </a:graphic>
          </wp:inline>
        </w:drawing>
      </w:r>
    </w:p>
    <w:p w14:paraId="792D71B8" w14:textId="77777777" w:rsidR="000A1862" w:rsidRPr="000A1862" w:rsidRDefault="000A1862" w:rsidP="000A1862">
      <w:pPr>
        <w:jc w:val="center"/>
        <w:rPr>
          <w:rFonts w:asciiTheme="majorBidi" w:hAnsiTheme="majorBidi" w:cstheme="majorBidi"/>
        </w:rPr>
      </w:pPr>
    </w:p>
    <w:p w14:paraId="144FD4A6" w14:textId="77777777" w:rsidR="00774244" w:rsidRDefault="000A1862" w:rsidP="000A1862">
      <w:pPr>
        <w:suppressLineNumbers/>
        <w:spacing w:line="480" w:lineRule="auto"/>
        <w:rPr>
          <w:rFonts w:asciiTheme="majorBidi" w:hAnsiTheme="majorBidi" w:cstheme="majorBidi"/>
        </w:rPr>
        <w:sectPr w:rsidR="00774244" w:rsidSect="0043705D">
          <w:pgSz w:w="12240" w:h="17856" w:code="3"/>
          <w:pgMar w:top="1440" w:right="1440" w:bottom="1440" w:left="1440" w:header="720" w:footer="720" w:gutter="0"/>
          <w:cols w:space="720"/>
          <w:docGrid w:linePitch="360"/>
        </w:sectPr>
      </w:pPr>
      <w:r w:rsidRPr="000A1862">
        <w:rPr>
          <w:rFonts w:asciiTheme="majorBidi" w:hAnsiTheme="majorBidi" w:cstheme="majorBidi"/>
          <w:b/>
          <w:bCs/>
        </w:rPr>
        <w:t>Figure S1.</w:t>
      </w:r>
      <w:r w:rsidRPr="000A1862">
        <w:rPr>
          <w:rFonts w:asciiTheme="majorBidi" w:hAnsiTheme="majorBidi" w:cstheme="majorBidi"/>
        </w:rPr>
        <w:t xml:space="preserve">  The effect of the different doses of the different GLP-1RAs on the incidence of prediabetes reversion to normoglycemia.</w:t>
      </w:r>
    </w:p>
    <w:p w14:paraId="6291D4B4" w14:textId="5FA543BB" w:rsidR="00BD6504" w:rsidRDefault="00BD6504" w:rsidP="00BD6504">
      <w:pPr>
        <w:spacing w:line="480" w:lineRule="auto"/>
        <w:rPr>
          <w:rFonts w:asciiTheme="majorBidi" w:hAnsiTheme="majorBidi" w:cstheme="majorBidi"/>
          <w:b/>
          <w:bCs/>
          <w:sz w:val="24"/>
          <w:szCs w:val="24"/>
        </w:rPr>
        <w:sectPr w:rsidR="00BD6504" w:rsidSect="00774244">
          <w:pgSz w:w="14400" w:h="17856" w:code="3"/>
          <w:pgMar w:top="1440" w:right="1440" w:bottom="1440" w:left="1440" w:header="720" w:footer="720" w:gutter="0"/>
          <w:cols w:space="720"/>
          <w:docGrid w:linePitch="360"/>
        </w:sectPr>
      </w:pPr>
      <w:r>
        <w:rPr>
          <w:rFonts w:asciiTheme="majorBidi" w:hAnsiTheme="majorBidi" w:cstheme="majorBidi"/>
          <w:b/>
          <w:bCs/>
          <w:noProof/>
          <w:sz w:val="24"/>
          <w:szCs w:val="24"/>
        </w:rPr>
        <w:lastRenderedPageBreak/>
        <w:drawing>
          <wp:inline distT="0" distB="0" distL="0" distR="0" wp14:anchorId="3B4699F4" wp14:editId="2250EED2">
            <wp:extent cx="7315200" cy="5246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315200" cy="5246370"/>
                    </a:xfrm>
                    <a:prstGeom prst="rect">
                      <a:avLst/>
                    </a:prstGeom>
                  </pic:spPr>
                </pic:pic>
              </a:graphicData>
            </a:graphic>
          </wp:inline>
        </w:drawing>
      </w:r>
      <w:r w:rsidRPr="003521E9">
        <w:rPr>
          <w:rFonts w:asciiTheme="majorBidi" w:hAnsiTheme="majorBidi" w:cstheme="majorBidi"/>
          <w:b/>
          <w:bCs/>
          <w:sz w:val="24"/>
          <w:szCs w:val="24"/>
        </w:rPr>
        <w:t>Figure S</w:t>
      </w:r>
      <w:r>
        <w:rPr>
          <w:rFonts w:asciiTheme="majorBidi" w:hAnsiTheme="majorBidi" w:cstheme="majorBidi"/>
          <w:b/>
          <w:bCs/>
          <w:sz w:val="24"/>
          <w:szCs w:val="24"/>
        </w:rPr>
        <w:t>2</w:t>
      </w:r>
      <w:r w:rsidRPr="003521E9">
        <w:rPr>
          <w:rFonts w:asciiTheme="majorBidi" w:hAnsiTheme="majorBidi" w:cstheme="majorBidi"/>
          <w:b/>
          <w:bCs/>
          <w:sz w:val="24"/>
          <w:szCs w:val="24"/>
        </w:rPr>
        <w:t>.</w:t>
      </w:r>
      <w:r w:rsidRPr="008556D7">
        <w:rPr>
          <w:rFonts w:asciiTheme="majorBidi" w:hAnsiTheme="majorBidi" w:cstheme="majorBidi"/>
          <w:b/>
          <w:bCs/>
          <w:sz w:val="24"/>
          <w:szCs w:val="24"/>
        </w:rPr>
        <w:t xml:space="preserve"> </w:t>
      </w:r>
      <w:r w:rsidRPr="008556D7">
        <w:rPr>
          <w:rFonts w:asciiTheme="majorBidi" w:hAnsiTheme="majorBidi" w:cstheme="majorBidi"/>
          <w:sz w:val="24"/>
          <w:szCs w:val="24"/>
        </w:rPr>
        <w:t>Trial sequential analysis</w:t>
      </w:r>
      <w:r>
        <w:rPr>
          <w:rFonts w:asciiTheme="majorBidi" w:hAnsiTheme="majorBidi" w:cstheme="majorBidi"/>
          <w:sz w:val="24"/>
          <w:szCs w:val="24"/>
        </w:rPr>
        <w:t xml:space="preserve"> of t</w:t>
      </w:r>
      <w:r w:rsidRPr="008556D7">
        <w:rPr>
          <w:rFonts w:asciiTheme="majorBidi" w:hAnsiTheme="majorBidi" w:cstheme="majorBidi"/>
          <w:sz w:val="24"/>
          <w:szCs w:val="24"/>
        </w:rPr>
        <w:t>he incidence of prediabetes reversion to normoglycemia</w:t>
      </w:r>
      <w:r>
        <w:rPr>
          <w:rFonts w:asciiTheme="majorBidi" w:hAnsiTheme="majorBidi" w:cstheme="majorBidi"/>
          <w:sz w:val="24"/>
          <w:szCs w:val="24"/>
        </w:rPr>
        <w:t>.</w:t>
      </w:r>
      <w:r w:rsidRPr="008556D7">
        <w:rPr>
          <w:rFonts w:asciiTheme="majorBidi" w:hAnsiTheme="majorBidi" w:cstheme="majorBidi"/>
          <w:b/>
          <w:bCs/>
          <w:sz w:val="24"/>
          <w:szCs w:val="24"/>
        </w:rPr>
        <w:t xml:space="preserve"> </w:t>
      </w:r>
    </w:p>
    <w:p w14:paraId="2626C607" w14:textId="32541B3A" w:rsidR="00BD6504" w:rsidRDefault="00BD6504" w:rsidP="00BD6504">
      <w:pPr>
        <w:spacing w:line="48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1E65868D" wp14:editId="73789016">
            <wp:extent cx="7315200" cy="4883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7315200" cy="4883785"/>
                    </a:xfrm>
                    <a:prstGeom prst="rect">
                      <a:avLst/>
                    </a:prstGeom>
                  </pic:spPr>
                </pic:pic>
              </a:graphicData>
            </a:graphic>
          </wp:inline>
        </w:drawing>
      </w:r>
      <w:r w:rsidRPr="003521E9">
        <w:rPr>
          <w:rFonts w:asciiTheme="majorBidi" w:hAnsiTheme="majorBidi" w:cstheme="majorBidi"/>
          <w:b/>
          <w:bCs/>
          <w:sz w:val="24"/>
          <w:szCs w:val="24"/>
        </w:rPr>
        <w:t>Figure S</w:t>
      </w:r>
      <w:r>
        <w:rPr>
          <w:rFonts w:asciiTheme="majorBidi" w:hAnsiTheme="majorBidi" w:cstheme="majorBidi"/>
          <w:b/>
          <w:bCs/>
          <w:sz w:val="24"/>
          <w:szCs w:val="24"/>
        </w:rPr>
        <w:t>3</w:t>
      </w:r>
      <w:r w:rsidRPr="003521E9">
        <w:rPr>
          <w:rFonts w:asciiTheme="majorBidi" w:hAnsiTheme="majorBidi" w:cstheme="majorBidi"/>
          <w:b/>
          <w:bCs/>
          <w:sz w:val="24"/>
          <w:szCs w:val="24"/>
        </w:rPr>
        <w:t>.</w:t>
      </w:r>
      <w:r w:rsidRPr="008556D7">
        <w:rPr>
          <w:rFonts w:asciiTheme="majorBidi" w:hAnsiTheme="majorBidi" w:cstheme="majorBidi"/>
          <w:sz w:val="24"/>
          <w:szCs w:val="24"/>
        </w:rPr>
        <w:t xml:space="preserve"> Trial sequential analysis</w:t>
      </w:r>
      <w:r>
        <w:rPr>
          <w:rFonts w:asciiTheme="majorBidi" w:hAnsiTheme="majorBidi" w:cstheme="majorBidi"/>
          <w:sz w:val="24"/>
          <w:szCs w:val="24"/>
        </w:rPr>
        <w:t xml:space="preserve"> of</w:t>
      </w:r>
      <w:r w:rsidRPr="008556D7">
        <w:t xml:space="preserve"> </w:t>
      </w:r>
      <w:r>
        <w:rPr>
          <w:rFonts w:asciiTheme="majorBidi" w:hAnsiTheme="majorBidi" w:cstheme="majorBidi"/>
          <w:sz w:val="24"/>
          <w:szCs w:val="24"/>
        </w:rPr>
        <w:t>t</w:t>
      </w:r>
      <w:r w:rsidRPr="008556D7">
        <w:rPr>
          <w:rFonts w:asciiTheme="majorBidi" w:hAnsiTheme="majorBidi" w:cstheme="majorBidi"/>
          <w:sz w:val="24"/>
          <w:szCs w:val="24"/>
        </w:rPr>
        <w:t>he incidence of new-onset diabetes</w:t>
      </w:r>
      <w:r>
        <w:rPr>
          <w:rFonts w:asciiTheme="majorBidi" w:hAnsiTheme="majorBidi" w:cstheme="majorBidi"/>
          <w:sz w:val="24"/>
          <w:szCs w:val="24"/>
        </w:rPr>
        <w:t>.</w:t>
      </w:r>
    </w:p>
    <w:p w14:paraId="2FFB4FAE" w14:textId="75AE8E03" w:rsidR="00BD6504" w:rsidRDefault="00BD6504" w:rsidP="000A1862">
      <w:pPr>
        <w:suppressLineNumbers/>
        <w:spacing w:line="480" w:lineRule="auto"/>
        <w:rPr>
          <w:rFonts w:asciiTheme="majorBidi" w:hAnsiTheme="majorBidi" w:cstheme="majorBidi"/>
        </w:rPr>
        <w:sectPr w:rsidR="00BD6504" w:rsidSect="00774244">
          <w:pgSz w:w="14400" w:h="17856" w:code="3"/>
          <w:pgMar w:top="1440" w:right="1440" w:bottom="1440" w:left="1440" w:header="720" w:footer="720" w:gutter="0"/>
          <w:cols w:space="720"/>
          <w:docGrid w:linePitch="360"/>
        </w:sectPr>
      </w:pPr>
    </w:p>
    <w:p w14:paraId="74FBEF3F" w14:textId="4322FAC6" w:rsidR="000A1862" w:rsidRDefault="00774244" w:rsidP="000A1862">
      <w:pPr>
        <w:suppressLineNumbers/>
        <w:spacing w:line="480" w:lineRule="auto"/>
        <w:rPr>
          <w:rFonts w:asciiTheme="majorBidi" w:hAnsiTheme="majorBidi" w:cstheme="majorBidi"/>
        </w:rPr>
      </w:pPr>
      <w:r>
        <w:rPr>
          <w:rFonts w:asciiTheme="majorBidi" w:hAnsiTheme="majorBidi" w:cstheme="majorBidi"/>
          <w:noProof/>
        </w:rPr>
        <w:lastRenderedPageBreak/>
        <w:drawing>
          <wp:inline distT="0" distB="0" distL="0" distR="0" wp14:anchorId="6A25FA78" wp14:editId="796366FC">
            <wp:extent cx="7168083" cy="3512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77828" cy="3517596"/>
                    </a:xfrm>
                    <a:prstGeom prst="rect">
                      <a:avLst/>
                    </a:prstGeom>
                  </pic:spPr>
                </pic:pic>
              </a:graphicData>
            </a:graphic>
          </wp:inline>
        </w:drawing>
      </w:r>
    </w:p>
    <w:p w14:paraId="5F7085E5" w14:textId="529C92A7" w:rsidR="00774244" w:rsidRPr="00D02DAC" w:rsidRDefault="00D02DAC" w:rsidP="00D02DAC">
      <w:pPr>
        <w:spacing w:line="480" w:lineRule="auto"/>
        <w:rPr>
          <w:rFonts w:asciiTheme="majorBidi" w:hAnsiTheme="majorBidi" w:cstheme="majorBidi"/>
          <w:sz w:val="24"/>
          <w:szCs w:val="24"/>
        </w:rPr>
        <w:sectPr w:rsidR="00774244" w:rsidRPr="00D02DAC" w:rsidSect="00774244">
          <w:pgSz w:w="14400" w:h="17856" w:code="3"/>
          <w:pgMar w:top="1440" w:right="1440" w:bottom="1440" w:left="1440" w:header="720" w:footer="720" w:gutter="0"/>
          <w:cols w:space="720"/>
          <w:docGrid w:linePitch="360"/>
        </w:sectPr>
      </w:pPr>
      <w:r w:rsidRPr="003521E9">
        <w:rPr>
          <w:rFonts w:asciiTheme="majorBidi" w:hAnsiTheme="majorBidi" w:cstheme="majorBidi"/>
          <w:b/>
          <w:bCs/>
          <w:sz w:val="24"/>
          <w:szCs w:val="24"/>
        </w:rPr>
        <w:t>Figure S</w:t>
      </w:r>
      <w:r>
        <w:rPr>
          <w:rFonts w:asciiTheme="majorBidi" w:hAnsiTheme="majorBidi" w:cstheme="majorBidi"/>
          <w:b/>
          <w:bCs/>
          <w:sz w:val="24"/>
          <w:szCs w:val="24"/>
        </w:rPr>
        <w:t>4</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w:t>
      </w:r>
      <w:r w:rsidRPr="0052545E">
        <w:rPr>
          <w:rFonts w:asciiTheme="majorBidi" w:hAnsiTheme="majorBidi" w:cstheme="majorBidi"/>
          <w:sz w:val="24"/>
          <w:szCs w:val="24"/>
        </w:rPr>
        <w:t xml:space="preserve"> prediabetes reversion to normoglycemia</w:t>
      </w:r>
      <w:r>
        <w:rPr>
          <w:rFonts w:asciiTheme="majorBidi" w:hAnsiTheme="majorBidi" w:cstheme="majorBidi"/>
          <w:sz w:val="24"/>
          <w:szCs w:val="24"/>
        </w:rPr>
        <w:t>.</w:t>
      </w:r>
    </w:p>
    <w:p w14:paraId="5B9EA932" w14:textId="7ACD8B50" w:rsidR="000A1862" w:rsidRPr="000A1862" w:rsidRDefault="000A1862">
      <w:pPr>
        <w:rPr>
          <w:rFonts w:asciiTheme="majorBidi" w:hAnsiTheme="majorBidi" w:cstheme="majorBidi"/>
        </w:rPr>
      </w:pPr>
    </w:p>
    <w:p w14:paraId="3BC87830" w14:textId="6F97B66E" w:rsidR="003F6744" w:rsidRPr="000A1862" w:rsidRDefault="00D02DAC" w:rsidP="00D02DAC">
      <w:pPr>
        <w:rPr>
          <w:rFonts w:asciiTheme="majorBidi" w:hAnsiTheme="majorBidi" w:cstheme="majorBidi"/>
          <w:lang w:val="en-GB"/>
        </w:rPr>
      </w:pPr>
      <w:r>
        <w:rPr>
          <w:rFonts w:asciiTheme="majorBidi" w:hAnsiTheme="majorBidi" w:cstheme="majorBidi"/>
          <w:noProof/>
          <w:lang w:val="en-GB"/>
        </w:rPr>
        <w:drawing>
          <wp:inline distT="0" distB="0" distL="0" distR="0" wp14:anchorId="38C21C15" wp14:editId="5BE7EB94">
            <wp:extent cx="8229600" cy="44310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0" cy="4431030"/>
                    </a:xfrm>
                    <a:prstGeom prst="rect">
                      <a:avLst/>
                    </a:prstGeom>
                  </pic:spPr>
                </pic:pic>
              </a:graphicData>
            </a:graphic>
          </wp:inline>
        </w:drawing>
      </w:r>
    </w:p>
    <w:p w14:paraId="41C3782A" w14:textId="5BB2FBF7" w:rsidR="00D02DAC" w:rsidRDefault="00D02DAC" w:rsidP="00D02DAC">
      <w:pPr>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5</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w:t>
      </w:r>
      <w:r w:rsidRPr="0052545E">
        <w:rPr>
          <w:rFonts w:asciiTheme="majorBidi" w:hAnsiTheme="majorBidi" w:cstheme="majorBidi"/>
          <w:sz w:val="24"/>
          <w:szCs w:val="24"/>
        </w:rPr>
        <w:t xml:space="preserve"> new-onset diabetes</w:t>
      </w:r>
      <w:r>
        <w:rPr>
          <w:rFonts w:asciiTheme="majorBidi" w:hAnsiTheme="majorBidi" w:cstheme="majorBidi"/>
          <w:sz w:val="24"/>
          <w:szCs w:val="24"/>
        </w:rPr>
        <w:t>.</w:t>
      </w:r>
    </w:p>
    <w:p w14:paraId="7C7910C3" w14:textId="497C5F89" w:rsidR="00D02DAC" w:rsidRPr="0052545E" w:rsidRDefault="00D02DAC" w:rsidP="00D02DAC">
      <w:pPr>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369D58C" wp14:editId="11F99CF8">
            <wp:extent cx="8229600" cy="4032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9600" cy="4032885"/>
                    </a:xfrm>
                    <a:prstGeom prst="rect">
                      <a:avLst/>
                    </a:prstGeom>
                  </pic:spPr>
                </pic:pic>
              </a:graphicData>
            </a:graphic>
          </wp:inline>
        </w:drawing>
      </w:r>
    </w:p>
    <w:p w14:paraId="3007811B" w14:textId="3BECAD5B" w:rsidR="00D02DAC" w:rsidRDefault="00D02DAC" w:rsidP="00D02DAC">
      <w:pPr>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6</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w:t>
      </w:r>
      <w:r w:rsidRPr="0052545E">
        <w:rPr>
          <w:rFonts w:asciiTheme="majorBidi" w:hAnsiTheme="majorBidi" w:cstheme="majorBidi"/>
          <w:sz w:val="24"/>
          <w:szCs w:val="24"/>
        </w:rPr>
        <w:t xml:space="preserve"> </w:t>
      </w:r>
      <w:r>
        <w:rPr>
          <w:rFonts w:asciiTheme="majorBidi" w:hAnsiTheme="majorBidi" w:cstheme="majorBidi"/>
          <w:sz w:val="24"/>
          <w:szCs w:val="24"/>
        </w:rPr>
        <w:t>FPG.</w:t>
      </w:r>
    </w:p>
    <w:p w14:paraId="52F3EFE3" w14:textId="7AA53F27" w:rsidR="00D02DAC" w:rsidRDefault="00D02DAC" w:rsidP="00D02DAC">
      <w:pPr>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074BDC5" wp14:editId="01CBBC59">
            <wp:extent cx="8229600" cy="4032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29600" cy="4032885"/>
                    </a:xfrm>
                    <a:prstGeom prst="rect">
                      <a:avLst/>
                    </a:prstGeom>
                  </pic:spPr>
                </pic:pic>
              </a:graphicData>
            </a:graphic>
          </wp:inline>
        </w:drawing>
      </w:r>
    </w:p>
    <w:p w14:paraId="48D9BD99" w14:textId="3EB49F5D" w:rsidR="00F72951" w:rsidRDefault="00D02DAC" w:rsidP="00D02DAC">
      <w:pPr>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7</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w:t>
      </w:r>
      <w:r w:rsidRPr="0052545E">
        <w:rPr>
          <w:rFonts w:asciiTheme="majorBidi" w:hAnsiTheme="majorBidi" w:cstheme="majorBidi"/>
          <w:sz w:val="24"/>
          <w:szCs w:val="24"/>
        </w:rPr>
        <w:t xml:space="preserve"> </w:t>
      </w:r>
      <w:r>
        <w:rPr>
          <w:rFonts w:asciiTheme="majorBidi" w:hAnsiTheme="majorBidi" w:cstheme="majorBidi"/>
          <w:sz w:val="24"/>
          <w:szCs w:val="24"/>
        </w:rPr>
        <w:t>HbA1c.</w:t>
      </w:r>
    </w:p>
    <w:p w14:paraId="43504BE0" w14:textId="08340E42" w:rsidR="00D02DAC" w:rsidRDefault="00D02DAC" w:rsidP="00D02DAC">
      <w:pPr>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A9A5382" wp14:editId="62717D5E">
            <wp:extent cx="8229600" cy="40455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9600" cy="4045585"/>
                    </a:xfrm>
                    <a:prstGeom prst="rect">
                      <a:avLst/>
                    </a:prstGeom>
                  </pic:spPr>
                </pic:pic>
              </a:graphicData>
            </a:graphic>
          </wp:inline>
        </w:drawing>
      </w:r>
      <w:r w:rsidRPr="003521E9">
        <w:rPr>
          <w:rFonts w:asciiTheme="majorBidi" w:hAnsiTheme="majorBidi" w:cstheme="majorBidi"/>
          <w:b/>
          <w:bCs/>
          <w:sz w:val="24"/>
          <w:szCs w:val="24"/>
        </w:rPr>
        <w:t>Figure S</w:t>
      </w:r>
      <w:r>
        <w:rPr>
          <w:rFonts w:asciiTheme="majorBidi" w:hAnsiTheme="majorBidi" w:cstheme="majorBidi"/>
          <w:b/>
          <w:bCs/>
          <w:sz w:val="24"/>
          <w:szCs w:val="24"/>
        </w:rPr>
        <w:t>8</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triglycerides.</w:t>
      </w:r>
    </w:p>
    <w:p w14:paraId="4BD9EFB9" w14:textId="23CB2DC7" w:rsidR="00D02DAC" w:rsidRDefault="00D02DAC" w:rsidP="00D02DAC">
      <w:pPr>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18B924FD" wp14:editId="6B97318A">
            <wp:extent cx="8229600" cy="4032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29600" cy="4032885"/>
                    </a:xfrm>
                    <a:prstGeom prst="rect">
                      <a:avLst/>
                    </a:prstGeom>
                  </pic:spPr>
                </pic:pic>
              </a:graphicData>
            </a:graphic>
          </wp:inline>
        </w:drawing>
      </w:r>
      <w:r w:rsidRPr="003521E9">
        <w:rPr>
          <w:rFonts w:asciiTheme="majorBidi" w:hAnsiTheme="majorBidi" w:cstheme="majorBidi"/>
          <w:b/>
          <w:bCs/>
          <w:sz w:val="24"/>
          <w:szCs w:val="24"/>
        </w:rPr>
        <w:t>Figure S</w:t>
      </w:r>
      <w:r>
        <w:rPr>
          <w:rFonts w:asciiTheme="majorBidi" w:hAnsiTheme="majorBidi" w:cstheme="majorBidi"/>
          <w:b/>
          <w:bCs/>
          <w:sz w:val="24"/>
          <w:szCs w:val="24"/>
        </w:rPr>
        <w:t>9</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LDL.</w:t>
      </w:r>
    </w:p>
    <w:p w14:paraId="44A7FD0A" w14:textId="42340261" w:rsidR="00A365B5" w:rsidRDefault="00A365B5" w:rsidP="00D02DAC">
      <w:pPr>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04C0F70" wp14:editId="3D9C6816">
            <wp:extent cx="8229600" cy="4045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29600" cy="4045585"/>
                    </a:xfrm>
                    <a:prstGeom prst="rect">
                      <a:avLst/>
                    </a:prstGeom>
                  </pic:spPr>
                </pic:pic>
              </a:graphicData>
            </a:graphic>
          </wp:inline>
        </w:drawing>
      </w:r>
    </w:p>
    <w:p w14:paraId="3451FADF" w14:textId="2EC98848" w:rsidR="00A365B5" w:rsidRDefault="00A365B5" w:rsidP="00A365B5">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10</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HDL.</w:t>
      </w:r>
    </w:p>
    <w:p w14:paraId="047E0149" w14:textId="409314B9" w:rsidR="00A365B5" w:rsidRDefault="00A365B5" w:rsidP="00A365B5">
      <w:pPr>
        <w:suppressLineNumbers/>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58EE2BC" wp14:editId="13FAF110">
            <wp:extent cx="8229600" cy="4032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29600" cy="4032885"/>
                    </a:xfrm>
                    <a:prstGeom prst="rect">
                      <a:avLst/>
                    </a:prstGeom>
                  </pic:spPr>
                </pic:pic>
              </a:graphicData>
            </a:graphic>
          </wp:inline>
        </w:drawing>
      </w:r>
    </w:p>
    <w:p w14:paraId="1CFEA085" w14:textId="160813C7" w:rsidR="00A365B5" w:rsidRDefault="00A365B5" w:rsidP="00A365B5">
      <w:pPr>
        <w:suppressLineNumbers/>
        <w:spacing w:line="480" w:lineRule="auto"/>
        <w:rPr>
          <w:rFonts w:asciiTheme="majorBidi" w:hAnsiTheme="majorBidi" w:cstheme="majorBidi"/>
          <w:sz w:val="24"/>
          <w:szCs w:val="24"/>
        </w:rPr>
      </w:pPr>
      <w:r w:rsidRPr="003521E9">
        <w:rPr>
          <w:rFonts w:asciiTheme="majorBidi" w:hAnsiTheme="majorBidi" w:cstheme="majorBidi"/>
          <w:b/>
          <w:bCs/>
          <w:sz w:val="24"/>
          <w:szCs w:val="24"/>
        </w:rPr>
        <w:t>Figure S</w:t>
      </w:r>
      <w:r>
        <w:rPr>
          <w:rFonts w:asciiTheme="majorBidi" w:hAnsiTheme="majorBidi" w:cstheme="majorBidi"/>
          <w:b/>
          <w:bCs/>
          <w:sz w:val="24"/>
          <w:szCs w:val="24"/>
        </w:rPr>
        <w:t>11</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body weight change.</w:t>
      </w:r>
    </w:p>
    <w:p w14:paraId="7D5A04E7" w14:textId="3AFA27B1" w:rsidR="00A365B5" w:rsidRDefault="00A365B5" w:rsidP="00A365B5">
      <w:pPr>
        <w:suppressLineNumbers/>
        <w:spacing w:line="480" w:lineRule="auto"/>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4C89772" wp14:editId="7A9E06AA">
            <wp:extent cx="8229600" cy="40455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4045585"/>
                    </a:xfrm>
                    <a:prstGeom prst="rect">
                      <a:avLst/>
                    </a:prstGeom>
                  </pic:spPr>
                </pic:pic>
              </a:graphicData>
            </a:graphic>
          </wp:inline>
        </w:drawing>
      </w:r>
      <w:r w:rsidRPr="003521E9">
        <w:rPr>
          <w:rFonts w:asciiTheme="majorBidi" w:hAnsiTheme="majorBidi" w:cstheme="majorBidi"/>
          <w:b/>
          <w:bCs/>
          <w:sz w:val="24"/>
          <w:szCs w:val="24"/>
        </w:rPr>
        <w:t>Figure S</w:t>
      </w:r>
      <w:r>
        <w:rPr>
          <w:rFonts w:asciiTheme="majorBidi" w:hAnsiTheme="majorBidi" w:cstheme="majorBidi"/>
          <w:b/>
          <w:bCs/>
          <w:sz w:val="24"/>
          <w:szCs w:val="24"/>
        </w:rPr>
        <w:t>12</w:t>
      </w:r>
      <w:r w:rsidRPr="003521E9">
        <w:rPr>
          <w:rFonts w:asciiTheme="majorBidi" w:hAnsiTheme="majorBidi" w:cstheme="majorBidi"/>
          <w:b/>
          <w:bCs/>
          <w:sz w:val="24"/>
          <w:szCs w:val="24"/>
        </w:rPr>
        <w:t>.</w:t>
      </w:r>
      <w:r w:rsidRPr="003521E9">
        <w:rPr>
          <w:rFonts w:asciiTheme="majorBidi" w:hAnsiTheme="majorBidi" w:cstheme="majorBidi"/>
          <w:sz w:val="24"/>
          <w:szCs w:val="24"/>
        </w:rPr>
        <w:t xml:space="preserve"> Funnel plot of the publication bias</w:t>
      </w:r>
      <w:r>
        <w:rPr>
          <w:rFonts w:asciiTheme="majorBidi" w:hAnsiTheme="majorBidi" w:cstheme="majorBidi"/>
          <w:sz w:val="24"/>
          <w:szCs w:val="24"/>
        </w:rPr>
        <w:t xml:space="preserve"> of waist circumference.</w:t>
      </w:r>
    </w:p>
    <w:p w14:paraId="17382A69" w14:textId="77777777" w:rsidR="00A365B5" w:rsidRDefault="00A365B5" w:rsidP="00A365B5">
      <w:pPr>
        <w:suppressLineNumbers/>
        <w:spacing w:line="480" w:lineRule="auto"/>
        <w:rPr>
          <w:rFonts w:asciiTheme="majorBidi" w:hAnsiTheme="majorBidi" w:cstheme="majorBidi"/>
          <w:sz w:val="24"/>
          <w:szCs w:val="24"/>
        </w:rPr>
      </w:pPr>
    </w:p>
    <w:p w14:paraId="19665988" w14:textId="77777777" w:rsidR="00D02DAC" w:rsidRDefault="00D02DAC" w:rsidP="00D02DAC">
      <w:pPr>
        <w:spacing w:line="480" w:lineRule="auto"/>
        <w:rPr>
          <w:rFonts w:asciiTheme="majorBidi" w:hAnsiTheme="majorBidi" w:cstheme="majorBidi"/>
          <w:sz w:val="24"/>
          <w:szCs w:val="24"/>
        </w:rPr>
      </w:pPr>
    </w:p>
    <w:p w14:paraId="4B806C15" w14:textId="77777777" w:rsidR="00D02DAC" w:rsidRPr="00D02DAC" w:rsidRDefault="00D02DAC" w:rsidP="00D02DAC">
      <w:pPr>
        <w:spacing w:line="480" w:lineRule="auto"/>
        <w:rPr>
          <w:rFonts w:asciiTheme="majorBidi" w:hAnsiTheme="majorBidi" w:cstheme="majorBidi"/>
          <w:sz w:val="24"/>
          <w:szCs w:val="24"/>
        </w:rPr>
      </w:pPr>
    </w:p>
    <w:sectPr w:rsidR="00D02DAC" w:rsidRPr="00D02DAC" w:rsidSect="00D02DA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C4178" w14:textId="77777777" w:rsidR="0019648C" w:rsidRDefault="0019648C" w:rsidP="00EA1D24">
      <w:pPr>
        <w:spacing w:after="0" w:line="240" w:lineRule="auto"/>
      </w:pPr>
      <w:r>
        <w:separator/>
      </w:r>
    </w:p>
  </w:endnote>
  <w:endnote w:type="continuationSeparator" w:id="0">
    <w:p w14:paraId="486EDDE2" w14:textId="77777777" w:rsidR="0019648C" w:rsidRDefault="0019648C" w:rsidP="00EA1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4C35" w14:textId="77777777" w:rsidR="0019648C" w:rsidRDefault="0019648C" w:rsidP="00EA1D24">
      <w:pPr>
        <w:spacing w:after="0" w:line="240" w:lineRule="auto"/>
      </w:pPr>
      <w:r>
        <w:separator/>
      </w:r>
    </w:p>
  </w:footnote>
  <w:footnote w:type="continuationSeparator" w:id="0">
    <w:p w14:paraId="37DC2846" w14:textId="77777777" w:rsidR="0019648C" w:rsidRDefault="0019648C" w:rsidP="00EA1D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71"/>
    <w:rsid w:val="0004607C"/>
    <w:rsid w:val="00085320"/>
    <w:rsid w:val="000A1862"/>
    <w:rsid w:val="00173D81"/>
    <w:rsid w:val="0019648C"/>
    <w:rsid w:val="001A24C5"/>
    <w:rsid w:val="001C392F"/>
    <w:rsid w:val="001D7431"/>
    <w:rsid w:val="00265027"/>
    <w:rsid w:val="002B6D89"/>
    <w:rsid w:val="002D5BB7"/>
    <w:rsid w:val="00314AC0"/>
    <w:rsid w:val="003521E9"/>
    <w:rsid w:val="00380339"/>
    <w:rsid w:val="003F6744"/>
    <w:rsid w:val="0043705D"/>
    <w:rsid w:val="0052545E"/>
    <w:rsid w:val="005541CF"/>
    <w:rsid w:val="005D287F"/>
    <w:rsid w:val="005E5A46"/>
    <w:rsid w:val="006468BA"/>
    <w:rsid w:val="00692F66"/>
    <w:rsid w:val="00774244"/>
    <w:rsid w:val="007B532B"/>
    <w:rsid w:val="0081172B"/>
    <w:rsid w:val="0082782E"/>
    <w:rsid w:val="008556D7"/>
    <w:rsid w:val="008936B9"/>
    <w:rsid w:val="00992E21"/>
    <w:rsid w:val="009C3A9D"/>
    <w:rsid w:val="00A365B5"/>
    <w:rsid w:val="00AD7A20"/>
    <w:rsid w:val="00AF3369"/>
    <w:rsid w:val="00BA241C"/>
    <w:rsid w:val="00BD6504"/>
    <w:rsid w:val="00BF7171"/>
    <w:rsid w:val="00C26C62"/>
    <w:rsid w:val="00C630C6"/>
    <w:rsid w:val="00CC6BAE"/>
    <w:rsid w:val="00D02DAC"/>
    <w:rsid w:val="00D330D3"/>
    <w:rsid w:val="00D41398"/>
    <w:rsid w:val="00D42AB2"/>
    <w:rsid w:val="00DC1F57"/>
    <w:rsid w:val="00E25DB7"/>
    <w:rsid w:val="00E70F59"/>
    <w:rsid w:val="00EA1D24"/>
    <w:rsid w:val="00F72951"/>
    <w:rsid w:val="00FE2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E51C"/>
  <w15:chartTrackingRefBased/>
  <w15:docId w15:val="{2EDAA8C2-CA5F-4D99-9605-1B0C5E9C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5B5"/>
  </w:style>
  <w:style w:type="paragraph" w:styleId="Heading4">
    <w:name w:val="heading 4"/>
    <w:basedOn w:val="Normal"/>
    <w:link w:val="Heading4Char"/>
    <w:uiPriority w:val="9"/>
    <w:qFormat/>
    <w:rsid w:val="00D41398"/>
    <w:pPr>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72951"/>
    <w:pPr>
      <w:spacing w:after="200" w:line="240" w:lineRule="auto"/>
    </w:pPr>
    <w:rPr>
      <w:i/>
      <w:iCs/>
      <w:color w:val="44546A" w:themeColor="text2"/>
      <w:sz w:val="18"/>
      <w:szCs w:val="18"/>
      <w:lang w:val="en-GB"/>
    </w:rPr>
  </w:style>
  <w:style w:type="paragraph" w:styleId="Header">
    <w:name w:val="header"/>
    <w:basedOn w:val="Normal"/>
    <w:link w:val="HeaderChar"/>
    <w:uiPriority w:val="99"/>
    <w:unhideWhenUsed/>
    <w:rsid w:val="00EA1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D24"/>
  </w:style>
  <w:style w:type="paragraph" w:styleId="Footer">
    <w:name w:val="footer"/>
    <w:basedOn w:val="Normal"/>
    <w:link w:val="FooterChar"/>
    <w:uiPriority w:val="99"/>
    <w:unhideWhenUsed/>
    <w:rsid w:val="00EA1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D24"/>
  </w:style>
  <w:style w:type="table" w:styleId="TableGrid">
    <w:name w:val="Table Grid"/>
    <w:basedOn w:val="TableNormal"/>
    <w:uiPriority w:val="39"/>
    <w:rsid w:val="000A1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41398"/>
    <w:rPr>
      <w:rFonts w:ascii="Times New Roman" w:eastAsiaTheme="minorEastAsia" w:hAnsi="Times New Roman" w:cs="Times New Roman"/>
      <w:b/>
      <w:bCs/>
      <w:sz w:val="24"/>
      <w:szCs w:val="24"/>
    </w:rPr>
  </w:style>
  <w:style w:type="character" w:customStyle="1" w:styleId="label">
    <w:name w:val="label"/>
    <w:basedOn w:val="DefaultParagraphFont"/>
    <w:rsid w:val="00D41398"/>
  </w:style>
  <w:style w:type="character" w:customStyle="1" w:styleId="cell-value">
    <w:name w:val="cell-value"/>
    <w:basedOn w:val="DefaultParagraphFont"/>
    <w:rsid w:val="00D41398"/>
  </w:style>
  <w:style w:type="character" w:customStyle="1" w:styleId="cell">
    <w:name w:val="cell"/>
    <w:basedOn w:val="DefaultParagraphFont"/>
    <w:rsid w:val="00D41398"/>
  </w:style>
  <w:style w:type="character" w:customStyle="1" w:styleId="block">
    <w:name w:val="block"/>
    <w:basedOn w:val="DefaultParagraphFont"/>
    <w:rsid w:val="00D41398"/>
  </w:style>
  <w:style w:type="character" w:customStyle="1" w:styleId="quality-sign">
    <w:name w:val="quality-sign"/>
    <w:basedOn w:val="DefaultParagraphFont"/>
    <w:rsid w:val="00D41398"/>
  </w:style>
  <w:style w:type="character" w:customStyle="1" w:styleId="quality-text">
    <w:name w:val="quality-text"/>
    <w:basedOn w:val="DefaultParagraphFont"/>
    <w:rsid w:val="00D41398"/>
  </w:style>
  <w:style w:type="paragraph" w:styleId="NormalWeb">
    <w:name w:val="Normal (Web)"/>
    <w:basedOn w:val="Normal"/>
    <w:uiPriority w:val="99"/>
    <w:semiHidden/>
    <w:unhideWhenUsed/>
    <w:rsid w:val="00D4139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5117">
      <w:bodyDiv w:val="1"/>
      <w:marLeft w:val="0"/>
      <w:marRight w:val="0"/>
      <w:marTop w:val="0"/>
      <w:marBottom w:val="0"/>
      <w:divBdr>
        <w:top w:val="none" w:sz="0" w:space="0" w:color="auto"/>
        <w:left w:val="none" w:sz="0" w:space="0" w:color="auto"/>
        <w:bottom w:val="none" w:sz="0" w:space="0" w:color="auto"/>
        <w:right w:val="none" w:sz="0" w:space="0" w:color="auto"/>
      </w:divBdr>
    </w:div>
    <w:div w:id="1115557207">
      <w:bodyDiv w:val="1"/>
      <w:marLeft w:val="0"/>
      <w:marRight w:val="0"/>
      <w:marTop w:val="0"/>
      <w:marBottom w:val="0"/>
      <w:divBdr>
        <w:top w:val="none" w:sz="0" w:space="0" w:color="auto"/>
        <w:left w:val="none" w:sz="0" w:space="0" w:color="auto"/>
        <w:bottom w:val="none" w:sz="0" w:space="0" w:color="auto"/>
        <w:right w:val="none" w:sz="0" w:space="0" w:color="auto"/>
      </w:divBdr>
    </w:div>
    <w:div w:id="1472138861">
      <w:bodyDiv w:val="1"/>
      <w:marLeft w:val="0"/>
      <w:marRight w:val="0"/>
      <w:marTop w:val="0"/>
      <w:marBottom w:val="0"/>
      <w:divBdr>
        <w:top w:val="none" w:sz="0" w:space="0" w:color="auto"/>
        <w:left w:val="none" w:sz="0" w:space="0" w:color="auto"/>
        <w:bottom w:val="none" w:sz="0" w:space="0" w:color="auto"/>
        <w:right w:val="none" w:sz="0" w:space="0" w:color="auto"/>
      </w:divBdr>
    </w:div>
    <w:div w:id="206517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50EA8-D18E-4BF7-B834-5EFC3838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16</Pages>
  <Words>2595</Words>
  <Characters>14795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hazem salamah</dc:creator>
  <cp:keywords/>
  <dc:description/>
  <cp:lastModifiedBy>hazem salamah</cp:lastModifiedBy>
  <cp:revision>32</cp:revision>
  <dcterms:created xsi:type="dcterms:W3CDTF">2023-04-04T23:31:00Z</dcterms:created>
  <dcterms:modified xsi:type="dcterms:W3CDTF">2023-12-13T13:46:00Z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http://www.zotero.org/styles/acta-naturae</vt:lpwstr>
  </property>
  <property fmtid="{D5CDD505-2E9C-101B-9397-08002B2CF9AE}" pid="3" name="Mendeley Recent Style Name 0_1">
    <vt:lpwstr>Acta Naturae</vt:lpwstr>
  </property>
  <property fmtid="{D5CDD505-2E9C-101B-9397-08002B2CF9AE}" pid="4" name="Mendeley Recent Style Id 1_1">
    <vt:lpwstr>http://www.zotero.org/styles/american-medical-association-10th-edition</vt:lpwstr>
  </property>
  <property fmtid="{D5CDD505-2E9C-101B-9397-08002B2CF9AE}" pid="5" name="Mendeley Recent Style Name 1_1">
    <vt:lpwstr>American Medical Association 10th edition</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http://www.zotero.org/styles/american-medical-association-parentheses</vt:lpwstr>
  </property>
  <property fmtid="{D5CDD505-2E9C-101B-9397-08002B2CF9AE}" pid="9" name="Mendeley Recent Style Name 3_1">
    <vt:lpwstr>American Medical Association 11th edition (parentheses)</vt:lpwstr>
  </property>
  <property fmtid="{D5CDD505-2E9C-101B-9397-08002B2CF9AE}" pid="10" name="Mendeley Recent Style Id 4_1">
    <vt:lpwstr>http://www.zotero.org/styles/bmc-medicine</vt:lpwstr>
  </property>
  <property fmtid="{D5CDD505-2E9C-101B-9397-08002B2CF9AE}" pid="11" name="Mendeley Recent Style Name 4_1">
    <vt:lpwstr>BMC Medicine</vt:lpwstr>
  </property>
  <property fmtid="{D5CDD505-2E9C-101B-9397-08002B2CF9AE}" pid="12" name="Mendeley Recent Style Id 5_1">
    <vt:lpwstr>http://www.zotero.org/styles/bmc-surgery</vt:lpwstr>
  </property>
  <property fmtid="{D5CDD505-2E9C-101B-9397-08002B2CF9AE}" pid="13" name="Mendeley Recent Style Name 5_1">
    <vt:lpwstr>BMC Surgery</vt:lpwstr>
  </property>
  <property fmtid="{D5CDD505-2E9C-101B-9397-08002B2CF9AE}" pid="14" name="Mendeley Recent Style Id 6_1">
    <vt:lpwstr>http://www.zotero.org/styles/diabetology-and-metabolic-syndrome</vt:lpwstr>
  </property>
  <property fmtid="{D5CDD505-2E9C-101B-9397-08002B2CF9AE}" pid="15" name="Mendeley Recent Style Name 6_1">
    <vt:lpwstr>Diabetology &amp; Metabolic Syndrome</vt:lpwstr>
  </property>
  <property fmtid="{D5CDD505-2E9C-101B-9397-08002B2CF9AE}" pid="16" name="Mendeley Recent Style Id 7_1">
    <vt:lpwstr>http://www.zotero.org/styles/elsevier-vancouver</vt:lpwstr>
  </property>
  <property fmtid="{D5CDD505-2E9C-101B-9397-08002B2CF9AE}" pid="17" name="Mendeley Recent Style Name 7_1">
    <vt:lpwstr>Elsevier - Vancouver</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