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56420C">
      <w:pP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Supplemental table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  <w:t xml:space="preserve"> 1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Univariate and multivariate Cox regression analysis for MAC</w:t>
      </w:r>
      <w:r>
        <w:rPr>
          <w:rFonts w:hint="eastAsia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>C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E</w:t>
      </w:r>
      <w:r>
        <w:rPr>
          <w:rFonts w:hint="eastAsia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>s (TyG Index).</w:t>
      </w:r>
    </w:p>
    <w:tbl>
      <w:tblPr>
        <w:tblStyle w:val="3"/>
        <w:tblW w:w="92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644"/>
        <w:gridCol w:w="1658"/>
        <w:gridCol w:w="1071"/>
        <w:gridCol w:w="366"/>
        <w:gridCol w:w="1036"/>
        <w:gridCol w:w="1680"/>
        <w:gridCol w:w="1058"/>
      </w:tblGrid>
      <w:tr w14:paraId="7EB24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</w:tcBorders>
            <w:shd w:val="clear" w:color="auto" w:fill="FFFFFF"/>
          </w:tcPr>
          <w:p w14:paraId="4476B2A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73" w:type="dxa"/>
            <w:gridSpan w:val="3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2B14DE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  <w:t>Univariate</w:t>
            </w:r>
          </w:p>
        </w:tc>
        <w:tc>
          <w:tcPr>
            <w:tcW w:w="366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</w:tcPr>
          <w:p w14:paraId="76E1AFA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774" w:type="dxa"/>
            <w:gridSpan w:val="3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42B01E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  <w:t>Multivariate</w:t>
            </w:r>
          </w:p>
        </w:tc>
      </w:tr>
      <w:tr w14:paraId="7C001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713F7E0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  <w:t>Variables</w:t>
            </w:r>
          </w:p>
        </w:tc>
        <w:tc>
          <w:tcPr>
            <w:tcW w:w="644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27CAEB1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  <w:t>HR</w:t>
            </w:r>
          </w:p>
        </w:tc>
        <w:tc>
          <w:tcPr>
            <w:tcW w:w="1658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61793F5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  <w:t>95%CI</w:t>
            </w:r>
          </w:p>
        </w:tc>
        <w:tc>
          <w:tcPr>
            <w:tcW w:w="1071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51D8779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  <w:t>P</w:t>
            </w:r>
          </w:p>
        </w:tc>
        <w:tc>
          <w:tcPr>
            <w:tcW w:w="36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3FE6BB8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7CFEB9E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  <w:t>HR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4B55C4A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  <w:t>95%CI</w:t>
            </w:r>
          </w:p>
        </w:tc>
        <w:tc>
          <w:tcPr>
            <w:tcW w:w="1058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0900881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  <w:t>P</w:t>
            </w:r>
          </w:p>
        </w:tc>
      </w:tr>
      <w:tr w14:paraId="1B759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4F8623E">
            <w:pPr>
              <w:spacing w:line="240" w:lineRule="auto"/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Age, years</w:t>
            </w:r>
          </w:p>
        </w:tc>
        <w:tc>
          <w:tcPr>
            <w:tcW w:w="6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05C3551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 xml:space="preserve">1.028 </w:t>
            </w:r>
          </w:p>
        </w:tc>
        <w:tc>
          <w:tcPr>
            <w:tcW w:w="165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19DE360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(1.011 ~ 1.044)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04F4E16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＜0.001</w:t>
            </w:r>
          </w:p>
        </w:tc>
        <w:tc>
          <w:tcPr>
            <w:tcW w:w="36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430085A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11EBA6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1.033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43AC5A2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 xml:space="preserve"> (1.013 ~ 1.054)</w:t>
            </w:r>
          </w:p>
        </w:tc>
        <w:tc>
          <w:tcPr>
            <w:tcW w:w="105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AC4733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0.001</w:t>
            </w:r>
          </w:p>
        </w:tc>
      </w:tr>
      <w:tr w14:paraId="04B1C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CDA428D">
            <w:pPr>
              <w:spacing w:line="240" w:lineRule="auto"/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  <w:t>Male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2DEFB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0.673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2ABA4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 xml:space="preserve"> (0.476 ~ 0.951)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ADB79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25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8B38E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4F0C32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B60745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288A6C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E6F4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945D38"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  <w:t>D</w:t>
            </w:r>
            <w:r>
              <w:rPr>
                <w:rFonts w:hint="eastAsia" w:ascii="Times New Roman" w:hAnsi="Times New Roman" w:eastAsia="微软雅黑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lang w:val="en-US" w:eastAsia="zh-CN"/>
              </w:rPr>
              <w:t>iabetes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E0D9D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 xml:space="preserve">1.898 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92EFB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(1.368 ~ 2.633)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FC95B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＜0.001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D5672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354508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A875A2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AFC23E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C661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CF754C"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  <w:t>BP, mmHg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08280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F7E40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8CDE2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644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3D02A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456EBA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D159F7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EB2E00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F5B4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AE3010"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LVEF,%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20EBF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E81DC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2D89E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0.998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B50EE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09C1E2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D45C88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DC5178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2C14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290C92"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hs-Tn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ng/ml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94DA1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020A9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11334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0.999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17988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1DF898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1156B2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03B609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2D38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86F1F2"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CK-MB,U/L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4D64B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1.002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070CC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 xml:space="preserve"> (1.001 ~ 1.003)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81B2AE">
            <w:pPr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＜0.001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4C0CD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0F71A0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FC9BDB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90FB70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AC7F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2AF7FD"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Creatinine,umol/l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DFF4F8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1.009 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D6DDBE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 (1.004 ~ 1.013)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84DD5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0.00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A5A91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F3F8F7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5A8126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59156C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148C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BCB7E9"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UA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,</w:t>
            </w:r>
            <w:r>
              <w:rPr>
                <w:rStyle w:val="5"/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μmol/L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E4281E8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1.002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616CA3F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 xml:space="preserve"> (1.001 ~ 1.004)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0AFCA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0.014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5E3F7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6E738E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0EC60B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0E3A732">
            <w:pPr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EA34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53349C"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TC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mmol/L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F6CBA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 xml:space="preserve">1.170 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2C820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(1.009 ~ 1.357)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27CE9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38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3DCE9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41AD43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0BB05E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0CA4F9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CD72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F466BA"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TG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mmol/L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7CCD3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 xml:space="preserve">1.254 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C0BB9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(1.136 ~ 1.383)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2ABF8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＜0.001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EEF33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90A4B2E">
            <w:pPr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AC0EA75">
            <w:pPr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377788C">
            <w:pPr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22F1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F104F6"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LDL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mmol/L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B01AE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3DA81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CE25A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0.229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1BCDD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624E23A">
            <w:pPr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A8A5493">
            <w:pPr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F01E629">
            <w:pPr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54B6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6D857B"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HDL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mmol/L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49FE6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544F6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76041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0.236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4A842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FD4499C">
            <w:pPr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09388EB">
            <w:pPr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895A768">
            <w:pPr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2F15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5BF0DE"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ALB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lang w:val="en-US" w:eastAsia="zh-CN"/>
              </w:rPr>
              <w:t>g/L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CA622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 xml:space="preserve">0.917 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AB0A5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(0.873 ~ 0.963)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423C65">
            <w:pPr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＜0.001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567A2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6210C84">
            <w:pPr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 xml:space="preserve">0.918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D903506">
            <w:pPr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(0.863 ~ 0.976)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414E95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0.007</w:t>
            </w:r>
          </w:p>
        </w:tc>
      </w:tr>
      <w:tr w14:paraId="2FB34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</w:tcPr>
          <w:p w14:paraId="7C44695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NT-pro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BNP, pg/ml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0B64C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1.002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AB84A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（1.000-1.005）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C28C8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＜0.001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072C7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037735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1.001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2902A8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(1.000 ~ 1.002)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BE3E31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6"/>
                <w:szCs w:val="16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0.008</w:t>
            </w:r>
          </w:p>
        </w:tc>
      </w:tr>
      <w:tr w14:paraId="25635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D6112D6"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pacing w:val="0"/>
                <w:sz w:val="18"/>
                <w:szCs w:val="18"/>
                <w:shd w:val="clear" w:fill="FFFFFF"/>
                <w:lang w:val="en-US" w:eastAsia="zh-CN"/>
              </w:rPr>
              <w:t>h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lang w:val="en-US" w:eastAsia="zh-CN"/>
              </w:rPr>
              <w:t>s-CRP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, mg/L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CD9B66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 xml:space="preserve">1.007 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7DB125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(1.003 ~ 1.011)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88D108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＜0.001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A9EC4C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396BB3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D416A7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3D8FC1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4057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29A1517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  <w:t>Tating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8DDA74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 xml:space="preserve">0.411 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12C824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(0.259 ~ 0.651)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BCE564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＜0.001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728790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78C22E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0.505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88BA5D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 xml:space="preserve"> (0.282 ~ 0.905)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D0D43A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0.022</w:t>
            </w:r>
          </w:p>
        </w:tc>
      </w:tr>
      <w:tr w14:paraId="359CB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7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25D11760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pacing w:val="0"/>
                <w:sz w:val="18"/>
                <w:szCs w:val="18"/>
                <w:shd w:val="clear" w:fill="FFFFFF"/>
                <w:lang w:val="en-US" w:eastAsia="zh-CN"/>
              </w:rPr>
              <w:t>TyG Index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7D1D443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 xml:space="preserve">2.579 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  <w:t xml:space="preserve"> </w:t>
            </w:r>
          </w:p>
        </w:tc>
        <w:tc>
          <w:tcPr>
            <w:tcW w:w="16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07C95E7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(2.024 ~ 3.287)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3925DC1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＜0.001</w:t>
            </w:r>
          </w:p>
        </w:tc>
        <w:tc>
          <w:tcPr>
            <w:tcW w:w="36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1AA480F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738E618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 xml:space="preserve">3.049 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506E699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(1.974 ~ 4.708)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56C0531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＜0.001</w:t>
            </w:r>
          </w:p>
        </w:tc>
      </w:tr>
    </w:tbl>
    <w:p w14:paraId="63BBD4B3">
      <w:pP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US" w:eastAsia="zh-CN"/>
        </w:rPr>
        <w:t>MACCEs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GB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US" w:eastAsia="zh-CN"/>
        </w:rPr>
        <w:t>major adverse cardio-cerebral events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GB" w:eastAsia="zh-CN"/>
        </w:rPr>
        <w:t xml:space="preserve">,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</w:rPr>
        <w:t>HR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GB"/>
        </w:rPr>
        <w:t xml:space="preserve">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</w:rPr>
        <w:t>Hazard Ratio, CI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GB"/>
        </w:rPr>
        <w:t xml:space="preserve">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</w:rPr>
        <w:t>Confidence Interval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GB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US" w:eastAsia="zh-CN"/>
        </w:rPr>
        <w:t>SBP systolic blood pressure,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GB" w:eastAsia="zh-CN"/>
        </w:rPr>
        <w:t xml:space="preserve">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111111"/>
          <w:spacing w:val="0"/>
          <w:sz w:val="15"/>
          <w:szCs w:val="15"/>
          <w:shd w:val="clear" w:fill="FFFFFF"/>
          <w:lang w:val="en-US" w:eastAsia="zh-CN"/>
        </w:rPr>
        <w:t xml:space="preserve">UA </w:t>
      </w:r>
      <w:r>
        <w:rPr>
          <w:rFonts w:hint="default" w:ascii="Times New Roman" w:hAnsi="Times New Roman" w:eastAsia="华文细黑" w:cs="Times New Roman"/>
          <w:b w:val="0"/>
          <w:bCs w:val="0"/>
          <w:i w:val="0"/>
          <w:iCs w:val="0"/>
          <w:caps w:val="0"/>
          <w:color w:val="000000"/>
          <w:spacing w:val="0"/>
          <w:sz w:val="15"/>
          <w:szCs w:val="15"/>
        </w:rPr>
        <w:t>uric acid</w:t>
      </w:r>
      <w:r>
        <w:rPr>
          <w:rFonts w:hint="default" w:ascii="Times New Roman" w:hAnsi="Times New Roman" w:eastAsia="华文细黑" w:cs="Times New Roman"/>
          <w:b w:val="0"/>
          <w:bCs w:val="0"/>
          <w:i w:val="0"/>
          <w:iCs w:val="0"/>
          <w:caps w:val="0"/>
          <w:color w:val="000000"/>
          <w:spacing w:val="0"/>
          <w:sz w:val="15"/>
          <w:szCs w:val="15"/>
          <w:lang w:val="en-US" w:eastAsia="zh-CN"/>
        </w:rPr>
        <w:t>,</w:t>
      </w:r>
      <w:r>
        <w:rPr>
          <w:rFonts w:hint="default" w:ascii="Times New Roman" w:hAnsi="Times New Roman" w:eastAsia="华文细黑" w:cs="Times New Roman"/>
          <w:b w:val="0"/>
          <w:bCs w:val="0"/>
          <w:i w:val="0"/>
          <w:iCs w:val="0"/>
          <w:caps w:val="0"/>
          <w:color w:val="000000"/>
          <w:spacing w:val="0"/>
          <w:sz w:val="15"/>
          <w:szCs w:val="15"/>
          <w:lang w:val="en-GB" w:eastAsia="zh-CN"/>
        </w:rPr>
        <w:t xml:space="preserve"> </w:t>
      </w:r>
      <w:r>
        <w:rPr>
          <w:rFonts w:hint="eastAsia" w:ascii="Times New Roman" w:hAnsi="Times New Roman" w:eastAsia="华文细黑" w:cs="Times New Roman"/>
          <w:b w:val="0"/>
          <w:bCs w:val="0"/>
          <w:i w:val="0"/>
          <w:iCs w:val="0"/>
          <w:caps w:val="0"/>
          <w:color w:val="000000"/>
          <w:spacing w:val="0"/>
          <w:sz w:val="15"/>
          <w:szCs w:val="15"/>
          <w:lang w:val="en-US" w:eastAsia="zh-CN"/>
        </w:rPr>
        <w:t>TP total protein ,</w:t>
      </w:r>
      <w:r>
        <w:rPr>
          <w:rFonts w:hint="default" w:ascii="Times New Roman" w:hAnsi="Times New Roman" w:eastAsia="华文细黑" w:cs="Times New Roman"/>
          <w:b w:val="0"/>
          <w:bCs w:val="0"/>
          <w:i w:val="0"/>
          <w:iCs w:val="0"/>
          <w:caps w:val="0"/>
          <w:color w:val="000000"/>
          <w:spacing w:val="0"/>
          <w:sz w:val="15"/>
          <w:szCs w:val="15"/>
          <w:lang w:val="en-GB" w:eastAsia="zh-CN"/>
        </w:rPr>
        <w:t xml:space="preserve"> </w:t>
      </w:r>
      <w:r>
        <w:rPr>
          <w:rFonts w:hint="default" w:ascii="Times New Roman" w:hAnsi="Times New Roman" w:eastAsia="微软雅黑" w:cs="Times New Roman"/>
          <w:b w:val="0"/>
          <w:bCs w:val="0"/>
          <w:sz w:val="15"/>
          <w:szCs w:val="15"/>
          <w:lang w:val="en-US" w:eastAsia="zh-CN"/>
        </w:rPr>
        <w:t>A</w:t>
      </w:r>
      <w:r>
        <w:rPr>
          <w:rFonts w:hint="eastAsia" w:ascii="Times New Roman" w:hAnsi="Times New Roman" w:eastAsia="微软雅黑" w:cs="Times New Roman"/>
          <w:b w:val="0"/>
          <w:bCs w:val="0"/>
          <w:sz w:val="15"/>
          <w:szCs w:val="15"/>
          <w:lang w:val="en-US" w:eastAsia="zh-CN"/>
        </w:rPr>
        <w:t>lb</w:t>
      </w:r>
      <w:r>
        <w:rPr>
          <w:rFonts w:hint="default" w:ascii="Times New Roman" w:hAnsi="Times New Roman" w:eastAsia="微软雅黑" w:cs="Times New Roman"/>
          <w:b w:val="0"/>
          <w:bCs w:val="0"/>
          <w:sz w:val="15"/>
          <w:szCs w:val="15"/>
          <w:lang w:val="en-US" w:eastAsia="zh-CN"/>
        </w:rPr>
        <w:t xml:space="preserve">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111111"/>
          <w:spacing w:val="0"/>
          <w:sz w:val="15"/>
          <w:szCs w:val="15"/>
          <w:shd w:val="clear" w:fill="FFFFFF"/>
        </w:rPr>
        <w:t>albumin</w:t>
      </w:r>
      <w:r>
        <w:rPr>
          <w:rFonts w:hint="eastAsia" w:ascii="Times New Roman" w:hAnsi="Times New Roman" w:eastAsia="华文细黑" w:cs="Times New Roman"/>
          <w:b w:val="0"/>
          <w:bCs w:val="0"/>
          <w:i w:val="0"/>
          <w:iCs w:val="0"/>
          <w:caps w:val="0"/>
          <w:color w:val="000000"/>
          <w:spacing w:val="0"/>
          <w:sz w:val="15"/>
          <w:szCs w:val="15"/>
          <w:lang w:val="en-US" w:eastAsia="zh-CN"/>
        </w:rPr>
        <w:t>,</w:t>
      </w:r>
      <w:r>
        <w:rPr>
          <w:rFonts w:hint="default" w:ascii="Times New Roman" w:hAnsi="Times New Roman" w:eastAsia="华文细黑" w:cs="Times New Roman"/>
          <w:b w:val="0"/>
          <w:bCs w:val="0"/>
          <w:i w:val="0"/>
          <w:iCs w:val="0"/>
          <w:caps w:val="0"/>
          <w:color w:val="000000"/>
          <w:spacing w:val="0"/>
          <w:sz w:val="15"/>
          <w:szCs w:val="15"/>
          <w:lang w:val="en-GB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US" w:eastAsia="zh-CN"/>
        </w:rPr>
        <w:t>TC total cholesterol, TG triglycerides, HDL high-density lipoprotein cholesterol,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GB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US" w:eastAsia="zh-CN"/>
        </w:rPr>
        <w:t>LDL low-density lipoprotein cholesterol,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GB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US" w:eastAsia="zh-CN"/>
        </w:rPr>
        <w:t>NT-proBNP N-terminal pro B-type natriuretic peptide,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GB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US" w:eastAsia="zh-CN"/>
        </w:rPr>
        <w:t>CK-MB creatine kinase isoenzymes,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GB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US" w:eastAsia="zh-CN"/>
        </w:rPr>
        <w:t>hs-CRP high-sensitivity C-reactive protein,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GB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US" w:eastAsia="zh-CN"/>
        </w:rPr>
        <w:t>TyG triglyceride-glucose.</w:t>
      </w:r>
    </w:p>
    <w:p w14:paraId="566C1934">
      <w:pP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US" w:eastAsia="zh-CN"/>
        </w:rPr>
      </w:pPr>
    </w:p>
    <w:p w14:paraId="29AD0A30">
      <w:pP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US" w:eastAsia="zh-CN"/>
        </w:rPr>
      </w:pPr>
    </w:p>
    <w:p w14:paraId="330C3F9C">
      <w:pP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US" w:eastAsia="zh-CN"/>
        </w:rPr>
      </w:pPr>
    </w:p>
    <w:p w14:paraId="7A5D361E"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Supplemental table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  <w:t xml:space="preserve"> 2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Univariate and multivariate Cox regression analysis for MAC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C</w:t>
      </w:r>
      <w:r>
        <w:rPr>
          <w:rFonts w:hint="default" w:ascii="Times New Roman" w:hAnsi="Times New Roman" w:cs="Times New Roman"/>
          <w:sz w:val="20"/>
          <w:szCs w:val="20"/>
        </w:rPr>
        <w:t>E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s (SHR).</w:t>
      </w:r>
    </w:p>
    <w:tbl>
      <w:tblPr>
        <w:tblStyle w:val="3"/>
        <w:tblW w:w="92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652"/>
        <w:gridCol w:w="1658"/>
        <w:gridCol w:w="1071"/>
        <w:gridCol w:w="366"/>
        <w:gridCol w:w="1036"/>
        <w:gridCol w:w="1680"/>
        <w:gridCol w:w="1058"/>
      </w:tblGrid>
      <w:tr w14:paraId="10EF8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0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</w:tcBorders>
            <w:shd w:val="clear" w:color="auto" w:fill="FFFFFF"/>
          </w:tcPr>
          <w:p w14:paraId="05A774E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81" w:type="dxa"/>
            <w:gridSpan w:val="3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87C2D1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  <w:t>Univariate</w:t>
            </w:r>
          </w:p>
        </w:tc>
        <w:tc>
          <w:tcPr>
            <w:tcW w:w="366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</w:tcPr>
          <w:p w14:paraId="446AB8B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774" w:type="dxa"/>
            <w:gridSpan w:val="3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99A5CE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  <w:t>Multivariate</w:t>
            </w:r>
          </w:p>
        </w:tc>
      </w:tr>
      <w:tr w14:paraId="0C89C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1FDCFD1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  <w:t>Variables</w:t>
            </w:r>
          </w:p>
        </w:tc>
        <w:tc>
          <w:tcPr>
            <w:tcW w:w="652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462466A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  <w:t>HR</w:t>
            </w:r>
          </w:p>
        </w:tc>
        <w:tc>
          <w:tcPr>
            <w:tcW w:w="1658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05553D8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  <w:t>95%CI</w:t>
            </w:r>
          </w:p>
        </w:tc>
        <w:tc>
          <w:tcPr>
            <w:tcW w:w="1071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2D7C87D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  <w:t>P</w:t>
            </w:r>
          </w:p>
        </w:tc>
        <w:tc>
          <w:tcPr>
            <w:tcW w:w="36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56927E0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47B5538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  <w:t>HR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56AB2F6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  <w:t>95%CI</w:t>
            </w:r>
          </w:p>
        </w:tc>
        <w:tc>
          <w:tcPr>
            <w:tcW w:w="1058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0C256A9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  <w:t>P</w:t>
            </w:r>
          </w:p>
        </w:tc>
      </w:tr>
      <w:tr w14:paraId="17CEC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C06ABF2">
            <w:pPr>
              <w:spacing w:line="240" w:lineRule="auto"/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Age, years</w:t>
            </w:r>
          </w:p>
        </w:tc>
        <w:tc>
          <w:tcPr>
            <w:tcW w:w="6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78FFA0D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 xml:space="preserve">1.028 </w:t>
            </w:r>
          </w:p>
        </w:tc>
        <w:tc>
          <w:tcPr>
            <w:tcW w:w="165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26A8426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(1.011 ~ 1.044)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2A74E87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＜0.001</w:t>
            </w:r>
          </w:p>
        </w:tc>
        <w:tc>
          <w:tcPr>
            <w:tcW w:w="36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1B10CEC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990C00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1.033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57D9655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 xml:space="preserve"> (1.013 ~ 1.054)</w:t>
            </w:r>
          </w:p>
        </w:tc>
        <w:tc>
          <w:tcPr>
            <w:tcW w:w="105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0B3B32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0.001</w:t>
            </w:r>
          </w:p>
        </w:tc>
      </w:tr>
      <w:tr w14:paraId="580CC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DCBBE90">
            <w:pPr>
              <w:spacing w:line="240" w:lineRule="auto"/>
              <w:jc w:val="both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  <w:t>Male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A6AEE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0.673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60100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 xml:space="preserve"> (0.476 ~ 0.951)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8F7A8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25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E65C6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A885A6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99E62E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692D4F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200B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9CDB832"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  <w:t>D</w:t>
            </w:r>
            <w:r>
              <w:rPr>
                <w:rFonts w:hint="eastAsia" w:ascii="Times New Roman" w:hAnsi="Times New Roman" w:eastAsia="微软雅黑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lang w:val="en-US" w:eastAsia="zh-CN"/>
              </w:rPr>
              <w:t>iabetes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B8742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 xml:space="preserve">1.898 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73C1D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(1.368 ~ 2.633)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81AC6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＜0.001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A8C59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67B55B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CEA14C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B96B93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FD22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19DDE7C"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  <w:t>BP, mmHg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D68FF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A3D65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8C542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644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9ED3B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F14A6B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9F33CC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7D7839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10E6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7FB9851"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LVEF,%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10853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03636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6177C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0.998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01E79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590DEF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8E3DBC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290267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84D6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CAE93A9"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hs-Tn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ng/ml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55041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9A32D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D4E85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0.999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48AF2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563B93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4EC459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A90520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E22D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9024610"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CK-MB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736C2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1.002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46B42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 xml:space="preserve"> (1.001 ~ 1.003)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A12B49">
            <w:pPr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＜0.001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A5459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5DB326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 xml:space="preserve">1.001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14A781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(1.001 ~ 1.002)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B56E32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0.007</w:t>
            </w:r>
          </w:p>
        </w:tc>
      </w:tr>
      <w:tr w14:paraId="22D11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9CBF622"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Creatinine,umol/l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4BA762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1.009 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F984ED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 (1.004 ~ 1.013)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DA67A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0.00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3D92E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9C653E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9CF493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6A99A9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9C1E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22B03FB"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UA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,</w:t>
            </w:r>
            <w:r>
              <w:rPr>
                <w:rStyle w:val="5"/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μmol/L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FF10656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1.002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B7E0B99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 xml:space="preserve"> (1.001 ~ 1.004)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6827C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0.014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4BB2A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648580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F41748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CBFF6FC">
            <w:pPr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644A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70C5AE5"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TC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mmol/L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A1EBB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 xml:space="preserve">1.170 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9E257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(1.009 ~ 1.357)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E10D3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38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B5C41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DE3FFC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 xml:space="preserve">1.238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3B5840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(1.029 ~ 1.490)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D55BFC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0.024</w:t>
            </w:r>
          </w:p>
        </w:tc>
      </w:tr>
      <w:tr w14:paraId="0483C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2A0FC4B"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TG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mmol/L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A1928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 xml:space="preserve">1.254 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90E43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(1.136 ~ 1.383)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2BC68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＜0.001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AEF82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BFF0EAB">
            <w:pPr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1.301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3ECACF9">
            <w:pPr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 xml:space="preserve"> (1.168 ~ 1.448)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BCEDF62">
            <w:pPr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＜0.001</w:t>
            </w:r>
          </w:p>
        </w:tc>
      </w:tr>
      <w:tr w14:paraId="58BAF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D2B7C99"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LDL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mmol/L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91224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9B7F5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5234F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0.229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2456F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91371DA">
            <w:pPr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EAC1F2B">
            <w:pPr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8EE8EB9">
            <w:pPr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A877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69DE9DD"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HDL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mmol/L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FD78B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E4FDA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24207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0.236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935E8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04A217A">
            <w:pPr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7EC1720">
            <w:pPr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584238C">
            <w:pPr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85B9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AB00C97"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ALB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,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lang w:val="en-US" w:eastAsia="zh-CN"/>
              </w:rPr>
              <w:t>g/L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94D94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 xml:space="preserve">0.917 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A06A8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(0.873 ~ 0.963)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9A4D3D">
            <w:pPr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＜0.001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48E11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1B332AD">
            <w:pPr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 xml:space="preserve">0.935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BD50F69">
            <w:pPr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 xml:space="preserve"> (0.879 ~ 0.995)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602351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0.033</w:t>
            </w:r>
          </w:p>
        </w:tc>
      </w:tr>
      <w:tr w14:paraId="05B4B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0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vAlign w:val="top"/>
          </w:tcPr>
          <w:p w14:paraId="365FC695"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NT-pro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BNP, pg/ml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71EBC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1.002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23122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（1.000-1.005）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F5CFB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＜0.001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FF8C4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C318C3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1.001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A6EE6F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(1.000 ~ 1.002)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5C67CF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6"/>
                <w:szCs w:val="16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0.008</w:t>
            </w:r>
          </w:p>
        </w:tc>
      </w:tr>
      <w:tr w14:paraId="230CA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462A253"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pacing w:val="0"/>
                <w:sz w:val="18"/>
                <w:szCs w:val="18"/>
                <w:shd w:val="clear" w:fill="FFFFFF"/>
                <w:lang w:val="en-US" w:eastAsia="zh-CN"/>
              </w:rPr>
              <w:t>h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lang w:val="en-US" w:eastAsia="zh-CN"/>
              </w:rPr>
              <w:t>s-CRP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, mg/L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9C8A86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 xml:space="preserve">1.007 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023711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(1.003 ~ 1.011)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34D754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＜0.001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135EE2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E99292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A8E598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E17472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5337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71AEE77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  <w:t>Tating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EC4F07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 xml:space="preserve">0.411 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AC0F23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(0.259 ~ 0.651)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6FB4BF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＜0.001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D982FA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423069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 xml:space="preserve">0.554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453BC1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(0.310 ~ 0.990)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E1FE2D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0.046</w:t>
            </w:r>
          </w:p>
        </w:tc>
      </w:tr>
      <w:tr w14:paraId="71E71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4AA2505B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pacing w:val="0"/>
                <w:sz w:val="18"/>
                <w:szCs w:val="18"/>
                <w:shd w:val="clear" w:fill="FFFFFF"/>
                <w:lang w:val="en-US" w:eastAsia="zh-CN"/>
              </w:rPr>
              <w:t>SHR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2606FC9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 xml:space="preserve">2.024 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  <w:t xml:space="preserve"> </w:t>
            </w:r>
          </w:p>
        </w:tc>
        <w:tc>
          <w:tcPr>
            <w:tcW w:w="16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266C2FD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 xml:space="preserve"> (1.678 ~ 2.441)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3B1BEBC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＜0.001</w:t>
            </w:r>
          </w:p>
        </w:tc>
        <w:tc>
          <w:tcPr>
            <w:tcW w:w="36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4A3ABC4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4DCBC39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1.631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480A756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 xml:space="preserve"> (1.252 ~ 2.125)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7131B7F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＜0.001</w:t>
            </w:r>
          </w:p>
        </w:tc>
      </w:tr>
    </w:tbl>
    <w:p w14:paraId="78661610">
      <w:pP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US" w:eastAsia="zh-CN"/>
        </w:rPr>
        <w:t>MACCEs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GB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US" w:eastAsia="zh-CN"/>
        </w:rPr>
        <w:t>major adverse cardio-cerebral events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GB" w:eastAsia="zh-CN"/>
        </w:rPr>
        <w:t xml:space="preserve">,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</w:rPr>
        <w:t>HR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GB"/>
        </w:rPr>
        <w:t xml:space="preserve">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</w:rPr>
        <w:t>Hazard Ratio,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GB"/>
        </w:rPr>
        <w:t xml:space="preserve">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</w:rPr>
        <w:t>CI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GB"/>
        </w:rPr>
        <w:t xml:space="preserve">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</w:rPr>
        <w:t>Confidence Interval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US" w:eastAsia="zh-CN"/>
        </w:rPr>
        <w:t xml:space="preserve">, SBP systolic blood pressure,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111111"/>
          <w:spacing w:val="0"/>
          <w:sz w:val="15"/>
          <w:szCs w:val="15"/>
          <w:shd w:val="clear" w:fill="FFFFFF"/>
          <w:lang w:val="en-US" w:eastAsia="zh-CN"/>
        </w:rPr>
        <w:t xml:space="preserve">UA </w:t>
      </w:r>
      <w:r>
        <w:rPr>
          <w:rFonts w:hint="default" w:ascii="Times New Roman" w:hAnsi="Times New Roman" w:eastAsia="华文细黑" w:cs="Times New Roman"/>
          <w:b w:val="0"/>
          <w:bCs w:val="0"/>
          <w:i w:val="0"/>
          <w:iCs w:val="0"/>
          <w:caps w:val="0"/>
          <w:color w:val="000000"/>
          <w:spacing w:val="0"/>
          <w:sz w:val="15"/>
          <w:szCs w:val="15"/>
        </w:rPr>
        <w:t>uric acid</w:t>
      </w:r>
      <w:r>
        <w:rPr>
          <w:rFonts w:hint="default" w:ascii="Times New Roman" w:hAnsi="Times New Roman" w:eastAsia="华文细黑" w:cs="Times New Roman"/>
          <w:b w:val="0"/>
          <w:bCs w:val="0"/>
          <w:i w:val="0"/>
          <w:iCs w:val="0"/>
          <w:caps w:val="0"/>
          <w:color w:val="000000"/>
          <w:spacing w:val="0"/>
          <w:sz w:val="15"/>
          <w:szCs w:val="15"/>
          <w:lang w:val="en-US" w:eastAsia="zh-CN"/>
        </w:rPr>
        <w:t>,</w:t>
      </w:r>
      <w:r>
        <w:rPr>
          <w:rFonts w:hint="eastAsia" w:ascii="Times New Roman" w:hAnsi="Times New Roman" w:eastAsia="华文细黑" w:cs="Times New Roman"/>
          <w:b w:val="0"/>
          <w:bCs w:val="0"/>
          <w:i w:val="0"/>
          <w:iCs w:val="0"/>
          <w:caps w:val="0"/>
          <w:color w:val="000000"/>
          <w:spacing w:val="0"/>
          <w:sz w:val="15"/>
          <w:szCs w:val="15"/>
          <w:lang w:val="en-US" w:eastAsia="zh-CN"/>
        </w:rPr>
        <w:t xml:space="preserve"> TP total protein , </w:t>
      </w:r>
      <w:r>
        <w:rPr>
          <w:rFonts w:hint="default" w:ascii="Times New Roman" w:hAnsi="Times New Roman" w:eastAsia="微软雅黑" w:cs="Times New Roman"/>
          <w:b w:val="0"/>
          <w:bCs w:val="0"/>
          <w:sz w:val="15"/>
          <w:szCs w:val="15"/>
          <w:lang w:val="en-US" w:eastAsia="zh-CN"/>
        </w:rPr>
        <w:t>A</w:t>
      </w:r>
      <w:r>
        <w:rPr>
          <w:rFonts w:hint="eastAsia" w:ascii="Times New Roman" w:hAnsi="Times New Roman" w:eastAsia="微软雅黑" w:cs="Times New Roman"/>
          <w:b w:val="0"/>
          <w:bCs w:val="0"/>
          <w:sz w:val="15"/>
          <w:szCs w:val="15"/>
          <w:lang w:val="en-US" w:eastAsia="zh-CN"/>
        </w:rPr>
        <w:t>lb</w:t>
      </w:r>
      <w:r>
        <w:rPr>
          <w:rFonts w:hint="default" w:ascii="Times New Roman" w:hAnsi="Times New Roman" w:eastAsia="微软雅黑" w:cs="Times New Roman"/>
          <w:b w:val="0"/>
          <w:bCs w:val="0"/>
          <w:sz w:val="15"/>
          <w:szCs w:val="15"/>
          <w:lang w:val="en-US" w:eastAsia="zh-CN"/>
        </w:rPr>
        <w:t xml:space="preserve"> 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111111"/>
          <w:spacing w:val="0"/>
          <w:sz w:val="15"/>
          <w:szCs w:val="15"/>
          <w:shd w:val="clear" w:fill="FFFFFF"/>
        </w:rPr>
        <w:t>albumin</w:t>
      </w:r>
      <w:r>
        <w:rPr>
          <w:rFonts w:hint="eastAsia" w:ascii="Times New Roman" w:hAnsi="Times New Roman" w:eastAsia="华文细黑" w:cs="Times New Roman"/>
          <w:b w:val="0"/>
          <w:bCs w:val="0"/>
          <w:i w:val="0"/>
          <w:iCs w:val="0"/>
          <w:caps w:val="0"/>
          <w:color w:val="000000"/>
          <w:spacing w:val="0"/>
          <w:sz w:val="15"/>
          <w:szCs w:val="15"/>
          <w:lang w:val="en-US" w:eastAsia="zh-CN"/>
        </w:rPr>
        <w:t>,</w:t>
      </w:r>
      <w:r>
        <w:rPr>
          <w:rFonts w:hint="default" w:ascii="Times New Roman" w:hAnsi="Times New Roman" w:eastAsia="华文细黑" w:cs="Times New Roman"/>
          <w:b w:val="0"/>
          <w:bCs w:val="0"/>
          <w:i w:val="0"/>
          <w:iCs w:val="0"/>
          <w:caps w:val="0"/>
          <w:color w:val="000000"/>
          <w:spacing w:val="0"/>
          <w:sz w:val="15"/>
          <w:szCs w:val="15"/>
          <w:lang w:val="en-GB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US" w:eastAsia="zh-CN"/>
        </w:rPr>
        <w:t>TC total cholesterol, TG triglycerides,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GB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US" w:eastAsia="zh-CN"/>
        </w:rPr>
        <w:t>HDL high-density lipoprotein cholesterol,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GB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US" w:eastAsia="zh-CN"/>
        </w:rPr>
        <w:t>LDL low-density lipoprotein cholesterol,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GB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US" w:eastAsia="zh-CN"/>
        </w:rPr>
        <w:t>NT-pro BNP N-terminal pro B-type natriuretic peptide,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GB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US" w:eastAsia="zh-CN"/>
        </w:rPr>
        <w:t>CK-MB creatine kinase isoenzymes,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GB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US" w:eastAsia="zh-CN"/>
        </w:rPr>
        <w:t>hs-CRP high-sensitivity C-reactive protein,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GB" w:eastAsia="zh-CN"/>
        </w:rPr>
        <w:t xml:space="preserve"> 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US" w:eastAsia="zh-CN"/>
        </w:rPr>
        <w:t>SHR stress hyperglycemia ratio.</w:t>
      </w:r>
    </w:p>
    <w:p w14:paraId="0155B943"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16"/>
          <w:szCs w:val="16"/>
          <w:u w:val="none"/>
          <w:lang w:val="en-US" w:eastAsia="zh-CN"/>
        </w:rPr>
      </w:pPr>
    </w:p>
    <w:p w14:paraId="1F85E00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hNTU2NTQ5YWVjOWRlNDIxMjliNmMzZGYwMmJmMGQifQ=="/>
  </w:docVars>
  <w:rsids>
    <w:rsidRoot w:val="6B6A30B6"/>
    <w:rsid w:val="04BF3AFA"/>
    <w:rsid w:val="22BE01A1"/>
    <w:rsid w:val="30A6777C"/>
    <w:rsid w:val="375801C6"/>
    <w:rsid w:val="38CA5C7B"/>
    <w:rsid w:val="3BFC4009"/>
    <w:rsid w:val="41AA4BF2"/>
    <w:rsid w:val="432602A9"/>
    <w:rsid w:val="691205EE"/>
    <w:rsid w:val="6B6A30B6"/>
    <w:rsid w:val="7CF4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410</Words>
  <Characters>2248</Characters>
  <Lines>0</Lines>
  <Paragraphs>0</Paragraphs>
  <TotalTime>2</TotalTime>
  <ScaleCrop>false</ScaleCrop>
  <LinksUpToDate>false</LinksUpToDate>
  <CharactersWithSpaces>2489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2024-07-11T08:05:00Z</dcterms:created>
  <dc:creator>WPS_1513927572</dc:creator>
  <cp:lastModifiedBy>WPS_1513927572</cp:lastModifiedBy>
  <dcterms:modified xsi:type="dcterms:W3CDTF">2024-09-11T11:47:50Z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113BBD6E26524AE5AF65EBA6B47A7142_11</vt:lpwstr>
  </property>
</Properties>
</file>