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65EF7" w14:textId="3652EDD1" w:rsidR="00722FD9" w:rsidRPr="00E81AB9" w:rsidRDefault="00E81AB9" w:rsidP="00E81AB9">
      <w:pPr>
        <w:spacing w:line="287" w:lineRule="auto"/>
        <w:jc w:val="center"/>
        <w:rPr>
          <w:rFonts w:ascii="Times New Roman" w:hAnsi="Times New Roman" w:cs="Times New Roman"/>
          <w:b/>
          <w:bCs/>
          <w:sz w:val="24"/>
          <w:szCs w:val="24"/>
        </w:rPr>
      </w:pPr>
      <w:r w:rsidRPr="00E81AB9">
        <w:rPr>
          <w:rFonts w:ascii="Times New Roman" w:hAnsi="Times New Roman" w:cs="Times New Roman"/>
          <w:b/>
          <w:bCs/>
          <w:sz w:val="24"/>
          <w:szCs w:val="24"/>
        </w:rPr>
        <w:t>Supplementary Methods</w:t>
      </w:r>
    </w:p>
    <w:p w14:paraId="1C9E3E9E" w14:textId="48002F1E" w:rsidR="00AD3F5E" w:rsidRDefault="00AD3F5E" w:rsidP="00AD3F5E">
      <w:pPr>
        <w:pStyle w:val="a3"/>
        <w:spacing w:before="69" w:line="480" w:lineRule="auto"/>
        <w:ind w:left="17"/>
        <w:rPr>
          <w:rFonts w:eastAsiaTheme="minorEastAsia"/>
          <w:spacing w:val="-1"/>
          <w:lang w:eastAsia="zh-CN"/>
        </w:rPr>
      </w:pPr>
      <w:r w:rsidRPr="00AD3F5E">
        <w:rPr>
          <w:rFonts w:eastAsiaTheme="minorEastAsia" w:hint="eastAsia"/>
          <w:b/>
          <w:bCs/>
          <w:spacing w:val="-1"/>
          <w:lang w:eastAsia="zh-CN"/>
        </w:rPr>
        <w:t>1.</w:t>
      </w:r>
      <w:r>
        <w:rPr>
          <w:rFonts w:eastAsiaTheme="minorEastAsia"/>
          <w:b/>
          <w:bCs/>
          <w:spacing w:val="-1"/>
          <w:lang w:eastAsia="zh-CN"/>
        </w:rPr>
        <w:t xml:space="preserve"> </w:t>
      </w:r>
      <w:r w:rsidRPr="00AD3F5E">
        <w:rPr>
          <w:rFonts w:eastAsiaTheme="minorEastAsia"/>
          <w:b/>
          <w:bCs/>
          <w:spacing w:val="-1"/>
          <w:lang w:eastAsia="zh-CN"/>
        </w:rPr>
        <w:t>DALYs</w:t>
      </w:r>
    </w:p>
    <w:p w14:paraId="0A637DCB" w14:textId="77777777"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b/>
          <w:bCs/>
          <w:snapToGrid/>
          <w:sz w:val="24"/>
          <w:szCs w:val="24"/>
          <w:lang w:eastAsia="zh-CN"/>
        </w:rPr>
      </w:pPr>
      <w:r w:rsidRPr="00AD3F5E">
        <w:rPr>
          <w:rFonts w:ascii="Times New Roman" w:eastAsia="宋体" w:hAnsi="Times New Roman" w:cs="Times New Roman"/>
          <w:b/>
          <w:bCs/>
          <w:snapToGrid/>
          <w:sz w:val="24"/>
          <w:szCs w:val="24"/>
          <w:lang w:eastAsia="zh-CN"/>
        </w:rPr>
        <w:t xml:space="preserve">1.1 Calculation methods for DALYs </w:t>
      </w:r>
    </w:p>
    <w:p w14:paraId="25DD8A19"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hint="eastAsia"/>
          <w:snapToGrid/>
          <w:sz w:val="24"/>
          <w:szCs w:val="24"/>
          <w:lang w:eastAsia="zh-CN"/>
        </w:rPr>
        <w:t>To estimate DALYs, GBD 20</w:t>
      </w:r>
      <w:r w:rsidRPr="00AD3F5E">
        <w:rPr>
          <w:rFonts w:ascii="Times New Roman" w:eastAsia="宋体" w:hAnsi="Times New Roman" w:cs="Times New Roman"/>
          <w:snapToGrid/>
          <w:sz w:val="24"/>
          <w:szCs w:val="24"/>
          <w:lang w:eastAsia="zh-CN"/>
        </w:rPr>
        <w:t>21</w:t>
      </w:r>
      <w:r w:rsidRPr="00AD3F5E">
        <w:rPr>
          <w:rFonts w:ascii="Times New Roman" w:eastAsia="宋体" w:hAnsi="Times New Roman" w:cs="Times New Roman" w:hint="eastAsia"/>
          <w:snapToGrid/>
          <w:sz w:val="24"/>
          <w:szCs w:val="24"/>
          <w:lang w:eastAsia="zh-CN"/>
        </w:rPr>
        <w:t xml:space="preserve"> started by estimating cause</w:t>
      </w:r>
      <w:r w:rsidRPr="00AD3F5E">
        <w:rPr>
          <w:rFonts w:ascii="Times New Roman" w:eastAsia="宋体" w:hAnsi="Times New Roman" w:cs="Times New Roman" w:hint="eastAsia"/>
          <w:snapToGrid/>
          <w:sz w:val="24"/>
          <w:szCs w:val="24"/>
          <w:lang w:eastAsia="zh-CN"/>
        </w:rPr>
        <w:t>‐</w:t>
      </w:r>
      <w:r w:rsidRPr="00AD3F5E">
        <w:rPr>
          <w:rFonts w:ascii="Times New Roman" w:eastAsia="宋体" w:hAnsi="Times New Roman" w:cs="Times New Roman" w:hint="eastAsia"/>
          <w:snapToGrid/>
          <w:sz w:val="24"/>
          <w:szCs w:val="24"/>
          <w:lang w:eastAsia="zh-CN"/>
        </w:rPr>
        <w:t>specific mortality and non</w:t>
      </w:r>
      <w:r w:rsidRPr="00AD3F5E">
        <w:rPr>
          <w:rFonts w:ascii="Times New Roman" w:eastAsia="宋体" w:hAnsi="Times New Roman" w:cs="Times New Roman" w:hint="eastAsia"/>
          <w:snapToGrid/>
          <w:sz w:val="24"/>
          <w:szCs w:val="24"/>
          <w:lang w:eastAsia="zh-CN"/>
        </w:rPr>
        <w:t>‐</w:t>
      </w:r>
      <w:r w:rsidRPr="00AD3F5E">
        <w:rPr>
          <w:rFonts w:ascii="Times New Roman" w:eastAsia="宋体" w:hAnsi="Times New Roman" w:cs="Times New Roman" w:hint="eastAsia"/>
          <w:snapToGrid/>
          <w:sz w:val="24"/>
          <w:szCs w:val="24"/>
          <w:lang w:eastAsia="zh-CN"/>
        </w:rPr>
        <w:t xml:space="preserve">fatal </w:t>
      </w:r>
      <w:r w:rsidRPr="00AD3F5E">
        <w:rPr>
          <w:rFonts w:ascii="Times New Roman" w:eastAsia="宋体" w:hAnsi="Times New Roman" w:cs="Times New Roman"/>
          <w:snapToGrid/>
          <w:sz w:val="24"/>
          <w:szCs w:val="24"/>
          <w:lang w:eastAsia="zh-CN"/>
        </w:rPr>
        <w:t xml:space="preserve">health loss. For each year for which YLDs have been estimated, GBD 2021 computed </w:t>
      </w:r>
      <w:r w:rsidRPr="00AD3F5E">
        <w:rPr>
          <w:rFonts w:ascii="Times New Roman" w:eastAsia="宋体" w:hAnsi="Times New Roman" w:cs="Times New Roman" w:hint="eastAsia"/>
          <w:snapToGrid/>
          <w:sz w:val="24"/>
          <w:szCs w:val="24"/>
          <w:lang w:eastAsia="zh-CN"/>
        </w:rPr>
        <w:t xml:space="preserve">DALYs by adding YLLs and YLDs for each </w:t>
      </w:r>
      <w:r w:rsidRPr="00AD3F5E">
        <w:rPr>
          <w:rFonts w:ascii="Times New Roman" w:eastAsia="宋体" w:hAnsi="Times New Roman" w:cs="Times New Roman"/>
          <w:snapToGrid/>
          <w:sz w:val="24"/>
          <w:szCs w:val="24"/>
          <w:lang w:eastAsia="zh-CN"/>
        </w:rPr>
        <w:t>age-sex-location</w:t>
      </w:r>
      <w:r w:rsidRPr="00AD3F5E">
        <w:rPr>
          <w:rFonts w:ascii="Times New Roman" w:eastAsia="宋体" w:hAnsi="Times New Roman" w:cs="Times New Roman" w:hint="eastAsia"/>
          <w:snapToGrid/>
          <w:sz w:val="24"/>
          <w:szCs w:val="24"/>
          <w:lang w:eastAsia="zh-CN"/>
        </w:rPr>
        <w:t xml:space="preserve">. Uncertainty in YLLs was </w:t>
      </w:r>
      <w:r w:rsidRPr="00AD3F5E">
        <w:rPr>
          <w:rFonts w:ascii="Times New Roman" w:eastAsia="宋体" w:hAnsi="Times New Roman" w:cs="Times New Roman"/>
          <w:snapToGrid/>
          <w:sz w:val="24"/>
          <w:szCs w:val="24"/>
          <w:lang w:eastAsia="zh-CN"/>
        </w:rPr>
        <w:t xml:space="preserve">assumed to be independent of uncertainty in YLDs. GBD 2021 calculated 1000 draws for DALYs by summing the first draw of the 1000 draws for YLLs and YLDs and then repeating for each subsequent draw. 95% UIs were computed by using the 25th and 975th ordered draw of the DALY uncertainty distribution. GBD 2021 calculated DALYs as the sum of YLLs and YLDs for each cause, location, age group, sex, and year. For more information, please refer to the following figure. </w:t>
      </w:r>
    </w:p>
    <w:p w14:paraId="3F07A125" w14:textId="77777777" w:rsidR="00AD3F5E" w:rsidRPr="00AD3F5E" w:rsidRDefault="00AD3F5E" w:rsidP="00AD3F5E">
      <w:pPr>
        <w:widowControl w:val="0"/>
        <w:kinsoku/>
        <w:autoSpaceDE/>
        <w:autoSpaceDN/>
        <w:adjustRightInd/>
        <w:snapToGrid/>
        <w:spacing w:line="480" w:lineRule="auto"/>
        <w:ind w:firstLineChars="200" w:firstLine="420"/>
        <w:jc w:val="both"/>
        <w:textAlignment w:val="auto"/>
        <w:rPr>
          <w:rFonts w:ascii="Times New Roman" w:eastAsia="宋体" w:hAnsi="Times New Roman" w:cs="Times New Roman"/>
          <w:snapToGrid/>
          <w:sz w:val="24"/>
          <w:szCs w:val="24"/>
          <w:lang w:eastAsia="zh-CN"/>
        </w:rPr>
      </w:pPr>
      <w:r w:rsidRPr="00AD3F5E">
        <w:rPr>
          <w:rFonts w:ascii="Calibri" w:eastAsia="宋体" w:hAnsi="Calibri" w:cs="Times New Roman"/>
          <w:noProof/>
          <w:snapToGrid/>
          <w:color w:val="auto"/>
          <w:kern w:val="2"/>
          <w:szCs w:val="22"/>
          <w:lang w:eastAsia="zh-CN"/>
        </w:rPr>
        <w:drawing>
          <wp:inline distT="0" distB="0" distL="0" distR="0" wp14:anchorId="190D06CC" wp14:editId="23CA6E31">
            <wp:extent cx="5274310" cy="200088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2000885"/>
                    </a:xfrm>
                    <a:prstGeom prst="rect">
                      <a:avLst/>
                    </a:prstGeom>
                  </pic:spPr>
                </pic:pic>
              </a:graphicData>
            </a:graphic>
          </wp:inline>
        </w:drawing>
      </w:r>
    </w:p>
    <w:p w14:paraId="6B5C41C8" w14:textId="6A2448A3"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b/>
          <w:bCs/>
          <w:snapToGrid/>
          <w:sz w:val="24"/>
          <w:szCs w:val="24"/>
          <w:lang w:eastAsia="zh-CN"/>
        </w:rPr>
      </w:pPr>
      <w:r w:rsidRPr="00AD3F5E">
        <w:rPr>
          <w:rFonts w:ascii="Times New Roman" w:eastAsia="宋体" w:hAnsi="Times New Roman" w:cs="Times New Roman"/>
          <w:b/>
          <w:bCs/>
          <w:snapToGrid/>
          <w:sz w:val="24"/>
          <w:szCs w:val="24"/>
          <w:lang w:eastAsia="zh-CN"/>
        </w:rPr>
        <w:t>1.</w:t>
      </w:r>
      <w:r w:rsidRPr="00AD3F5E">
        <w:rPr>
          <w:rFonts w:ascii="Times New Roman" w:eastAsia="宋体" w:hAnsi="Times New Roman" w:cs="Times New Roman" w:hint="eastAsia"/>
          <w:b/>
          <w:bCs/>
          <w:snapToGrid/>
          <w:sz w:val="24"/>
          <w:szCs w:val="24"/>
          <w:lang w:eastAsia="zh-CN"/>
        </w:rPr>
        <w:t>2</w:t>
      </w:r>
      <w:r w:rsidRPr="00AD3F5E">
        <w:rPr>
          <w:rFonts w:ascii="Times New Roman" w:eastAsia="宋体" w:hAnsi="Times New Roman" w:cs="Times New Roman"/>
          <w:b/>
          <w:bCs/>
          <w:snapToGrid/>
          <w:sz w:val="24"/>
          <w:szCs w:val="24"/>
          <w:lang w:eastAsia="zh-CN"/>
        </w:rPr>
        <w:t xml:space="preserve"> YLLs</w:t>
      </w:r>
    </w:p>
    <w:p w14:paraId="4D547C75"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snapToGrid/>
          <w:sz w:val="24"/>
          <w:szCs w:val="24"/>
          <w:lang w:eastAsia="zh-CN"/>
        </w:rPr>
        <w:t>The YLL is a metric that is computed by multiplying the number of estimated deaths by the standard life expectancy at age of death. The metric therefore highlights premature deaths by applying a larger weight to deaths that occur in younger age groups. The core equation can be written as follows:</w:t>
      </w:r>
    </w:p>
    <w:p w14:paraId="3D377670"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noProof/>
          <w:snapToGrid/>
          <w:sz w:val="24"/>
          <w:szCs w:val="24"/>
          <w:lang w:eastAsia="zh-CN"/>
        </w:rPr>
        <w:drawing>
          <wp:inline distT="0" distB="0" distL="0" distR="0" wp14:anchorId="27F21C7A" wp14:editId="0E3B4386">
            <wp:extent cx="2103120" cy="701040"/>
            <wp:effectExtent l="0" t="0" r="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120" cy="701040"/>
                    </a:xfrm>
                    <a:prstGeom prst="rect">
                      <a:avLst/>
                    </a:prstGeom>
                    <a:noFill/>
                    <a:ln>
                      <a:noFill/>
                    </a:ln>
                  </pic:spPr>
                </pic:pic>
              </a:graphicData>
            </a:graphic>
          </wp:inline>
        </w:drawing>
      </w:r>
    </w:p>
    <w:p w14:paraId="13C769AD" w14:textId="5D3E0C67"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b/>
          <w:bCs/>
          <w:snapToGrid/>
          <w:color w:val="auto"/>
          <w:sz w:val="24"/>
          <w:szCs w:val="24"/>
          <w:lang w:eastAsia="zh-CN"/>
        </w:rPr>
      </w:pPr>
      <w:r w:rsidRPr="00AD3F5E">
        <w:rPr>
          <w:rFonts w:ascii="Times New Roman" w:eastAsia="宋体" w:hAnsi="Times New Roman" w:cs="Times New Roman"/>
          <w:b/>
          <w:bCs/>
          <w:snapToGrid/>
          <w:color w:val="auto"/>
          <w:sz w:val="24"/>
          <w:szCs w:val="24"/>
          <w:lang w:eastAsia="zh-CN"/>
        </w:rPr>
        <w:t>1.</w:t>
      </w:r>
      <w:r w:rsidRPr="00AD3F5E">
        <w:rPr>
          <w:rFonts w:ascii="Times New Roman" w:eastAsia="宋体" w:hAnsi="Times New Roman" w:cs="Times New Roman" w:hint="eastAsia"/>
          <w:b/>
          <w:bCs/>
          <w:snapToGrid/>
          <w:color w:val="auto"/>
          <w:sz w:val="24"/>
          <w:szCs w:val="24"/>
          <w:lang w:eastAsia="zh-CN"/>
        </w:rPr>
        <w:t xml:space="preserve">3 </w:t>
      </w:r>
      <w:r w:rsidRPr="00AD3F5E">
        <w:rPr>
          <w:rFonts w:ascii="Times New Roman" w:eastAsia="宋体" w:hAnsi="Times New Roman" w:cs="Times New Roman"/>
          <w:b/>
          <w:bCs/>
          <w:snapToGrid/>
          <w:color w:val="auto"/>
          <w:sz w:val="24"/>
          <w:szCs w:val="24"/>
          <w:lang w:eastAsia="zh-CN"/>
        </w:rPr>
        <w:t>YLDs</w:t>
      </w:r>
    </w:p>
    <w:p w14:paraId="642DD428"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snapToGrid/>
          <w:sz w:val="24"/>
          <w:szCs w:val="24"/>
          <w:lang w:eastAsia="zh-CN"/>
        </w:rPr>
        <w:lastRenderedPageBreak/>
        <w:t>YLD was computed by sequela as prevalence multiplied by the DW for the health state associated with that sequela.</w:t>
      </w:r>
    </w:p>
    <w:p w14:paraId="4D30F938"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noProof/>
          <w:snapToGrid/>
          <w:sz w:val="24"/>
          <w:szCs w:val="24"/>
          <w:lang w:eastAsia="zh-CN"/>
        </w:rPr>
        <w:drawing>
          <wp:inline distT="0" distB="0" distL="0" distR="0" wp14:anchorId="129A1EEF" wp14:editId="3DA17397">
            <wp:extent cx="1973580" cy="510540"/>
            <wp:effectExtent l="0" t="0" r="762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3580" cy="510540"/>
                    </a:xfrm>
                    <a:prstGeom prst="rect">
                      <a:avLst/>
                    </a:prstGeom>
                    <a:noFill/>
                    <a:ln>
                      <a:noFill/>
                    </a:ln>
                  </pic:spPr>
                </pic:pic>
              </a:graphicData>
            </a:graphic>
          </wp:inline>
        </w:drawing>
      </w:r>
    </w:p>
    <w:p w14:paraId="6AD5A864" w14:textId="22110C45"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b/>
          <w:bCs/>
          <w:snapToGrid/>
          <w:sz w:val="24"/>
          <w:szCs w:val="24"/>
          <w:lang w:eastAsia="zh-CN"/>
        </w:rPr>
      </w:pPr>
      <w:r w:rsidRPr="00AD3F5E">
        <w:rPr>
          <w:rFonts w:ascii="Times New Roman" w:eastAsia="宋体" w:hAnsi="Times New Roman" w:cs="Times New Roman"/>
          <w:b/>
          <w:bCs/>
          <w:snapToGrid/>
          <w:sz w:val="24"/>
          <w:szCs w:val="24"/>
          <w:lang w:eastAsia="zh-CN"/>
        </w:rPr>
        <w:t>1.</w:t>
      </w:r>
      <w:r w:rsidRPr="00AD3F5E">
        <w:rPr>
          <w:rFonts w:ascii="Times New Roman" w:eastAsia="宋体" w:hAnsi="Times New Roman" w:cs="Times New Roman" w:hint="eastAsia"/>
          <w:b/>
          <w:bCs/>
          <w:snapToGrid/>
          <w:sz w:val="24"/>
          <w:szCs w:val="24"/>
          <w:lang w:eastAsia="zh-CN"/>
        </w:rPr>
        <w:t>4</w:t>
      </w:r>
      <w:r w:rsidRPr="00AD3F5E">
        <w:rPr>
          <w:rFonts w:ascii="Times New Roman" w:eastAsia="宋体" w:hAnsi="Times New Roman" w:cs="Times New Roman"/>
          <w:b/>
          <w:bCs/>
          <w:snapToGrid/>
          <w:sz w:val="24"/>
          <w:szCs w:val="24"/>
          <w:lang w:eastAsia="zh-CN"/>
        </w:rPr>
        <w:t xml:space="preserve"> Disability Weights (DWs)</w:t>
      </w:r>
    </w:p>
    <w:p w14:paraId="21A9F65F"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snapToGrid/>
          <w:sz w:val="24"/>
          <w:szCs w:val="24"/>
          <w:lang w:eastAsia="zh-CN"/>
        </w:rPr>
        <w:t>DWs are measured on a scale from 0 to 1; 0 implies a state equivalent to full health, and 1, a state equivalent to death.</w:t>
      </w:r>
      <w:r w:rsidRPr="00AD3F5E">
        <w:rPr>
          <w:rFonts w:ascii="Times New Roman" w:eastAsia="宋体" w:hAnsi="Times New Roman" w:cs="Times New Roman" w:hint="eastAsia"/>
          <w:snapToGrid/>
          <w:sz w:val="24"/>
          <w:szCs w:val="24"/>
          <w:lang w:eastAsia="zh-CN"/>
        </w:rPr>
        <w:t xml:space="preserve"> </w:t>
      </w:r>
      <w:r w:rsidRPr="00AD3F5E">
        <w:rPr>
          <w:rFonts w:ascii="Times New Roman" w:eastAsia="宋体" w:hAnsi="Times New Roman" w:cs="Times New Roman"/>
          <w:snapToGrid/>
          <w:sz w:val="24"/>
          <w:szCs w:val="24"/>
          <w:lang w:eastAsia="zh-CN"/>
        </w:rPr>
        <w:t>The formula for the cumulative DW is one minus the multiplicative sum of one minus each DW present:</w:t>
      </w:r>
    </w:p>
    <w:p w14:paraId="105D5FAC" w14:textId="77777777" w:rsidR="00AD3F5E" w:rsidRPr="00AD3F5E" w:rsidRDefault="00AD3F5E" w:rsidP="00AD3F5E">
      <w:pPr>
        <w:widowControl w:val="0"/>
        <w:kinsoku/>
        <w:autoSpaceDE/>
        <w:autoSpaceDN/>
        <w:adjustRightInd/>
        <w:snapToGrid/>
        <w:spacing w:line="480" w:lineRule="auto"/>
        <w:ind w:firstLineChars="200" w:firstLine="480"/>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noProof/>
          <w:snapToGrid/>
          <w:sz w:val="24"/>
          <w:szCs w:val="24"/>
          <w:lang w:eastAsia="zh-CN"/>
        </w:rPr>
        <w:drawing>
          <wp:inline distT="0" distB="0" distL="0" distR="0" wp14:anchorId="75DC4D9B" wp14:editId="1F9A26C7">
            <wp:extent cx="2758440" cy="685800"/>
            <wp:effectExtent l="0" t="0" r="381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8440" cy="685800"/>
                    </a:xfrm>
                    <a:prstGeom prst="rect">
                      <a:avLst/>
                    </a:prstGeom>
                    <a:noFill/>
                    <a:ln>
                      <a:noFill/>
                    </a:ln>
                  </pic:spPr>
                </pic:pic>
              </a:graphicData>
            </a:graphic>
          </wp:inline>
        </w:drawing>
      </w:r>
    </w:p>
    <w:p w14:paraId="692C160F" w14:textId="77777777"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snapToGrid/>
          <w:sz w:val="24"/>
          <w:szCs w:val="24"/>
          <w:lang w:eastAsia="zh-CN"/>
        </w:rPr>
        <w:t xml:space="preserve">Where: </w:t>
      </w:r>
    </w:p>
    <w:p w14:paraId="5B572FB7" w14:textId="53CFE710"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397689">
        <w:rPr>
          <w:rFonts w:ascii="Times New Roman" w:eastAsia="宋体" w:hAnsi="Times New Roman" w:cs="Times New Roman" w:hint="eastAsia"/>
          <w:color w:val="000000" w:themeColor="text1"/>
          <w:sz w:val="24"/>
          <w:szCs w:val="24"/>
        </w:rPr>
        <w:t>•</w:t>
      </w:r>
      <w:r w:rsidRPr="00397689">
        <w:rPr>
          <w:rFonts w:ascii="Times New Roman" w:eastAsia="宋体" w:hAnsi="Times New Roman" w:cs="Times New Roman"/>
          <w:color w:val="000000" w:themeColor="text1"/>
          <w:sz w:val="24"/>
          <w:szCs w:val="24"/>
        </w:rPr>
        <w:t xml:space="preserve"> </w:t>
      </w:r>
      <w:proofErr w:type="spellStart"/>
      <w:r w:rsidRPr="00AD3F5E">
        <w:rPr>
          <w:rFonts w:ascii="Times New Roman" w:eastAsia="宋体" w:hAnsi="Times New Roman" w:cs="Times New Roman"/>
          <w:snapToGrid/>
          <w:sz w:val="24"/>
          <w:szCs w:val="24"/>
          <w:lang w:eastAsia="zh-CN"/>
        </w:rPr>
        <w:t>DW</w:t>
      </w:r>
      <w:r w:rsidRPr="00AD3F5E">
        <w:rPr>
          <w:rFonts w:ascii="Times New Roman" w:eastAsia="宋体" w:hAnsi="Times New Roman" w:cs="Times New Roman"/>
          <w:snapToGrid/>
          <w:sz w:val="24"/>
          <w:szCs w:val="24"/>
          <w:vertAlign w:val="subscript"/>
          <w:lang w:eastAsia="zh-CN"/>
        </w:rPr>
        <w:t>k</w:t>
      </w:r>
      <w:proofErr w:type="spellEnd"/>
      <w:r w:rsidRPr="00AD3F5E">
        <w:rPr>
          <w:rFonts w:ascii="Times New Roman" w:eastAsia="宋体" w:hAnsi="Times New Roman" w:cs="Times New Roman"/>
          <w:snapToGrid/>
          <w:sz w:val="24"/>
          <w:szCs w:val="24"/>
          <w:lang w:eastAsia="zh-CN"/>
        </w:rPr>
        <w:t xml:space="preserve"> is the DW for the kth disease sequela that the simulant l has acquired.</w:t>
      </w:r>
    </w:p>
    <w:p w14:paraId="3ACE5965" w14:textId="7C45517C"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397689">
        <w:rPr>
          <w:rFonts w:ascii="Times New Roman" w:eastAsia="宋体" w:hAnsi="Times New Roman" w:cs="Times New Roman" w:hint="eastAsia"/>
          <w:color w:val="000000" w:themeColor="text1"/>
          <w:sz w:val="24"/>
          <w:szCs w:val="24"/>
        </w:rPr>
        <w:t>•</w:t>
      </w:r>
      <w:r w:rsidRPr="00397689">
        <w:rPr>
          <w:rFonts w:ascii="Times New Roman" w:eastAsia="宋体" w:hAnsi="Times New Roman" w:cs="Times New Roman"/>
          <w:color w:val="000000" w:themeColor="text1"/>
          <w:sz w:val="24"/>
          <w:szCs w:val="24"/>
        </w:rPr>
        <w:t xml:space="preserve"> </w:t>
      </w:r>
      <w:r w:rsidRPr="00AD3F5E">
        <w:rPr>
          <w:rFonts w:ascii="Times New Roman" w:eastAsia="宋体" w:hAnsi="Times New Roman" w:cs="Times New Roman"/>
          <w:snapToGrid/>
          <w:sz w:val="24"/>
          <w:szCs w:val="24"/>
          <w:lang w:eastAsia="zh-CN"/>
        </w:rPr>
        <w:t>Once the simulant DW is computed, the DW attributable to each sequela for the simulant is calculated by using the following formula:</w:t>
      </w:r>
    </w:p>
    <w:p w14:paraId="19485056" w14:textId="77777777"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hint="eastAsia"/>
          <w:snapToGrid/>
          <w:sz w:val="24"/>
          <w:szCs w:val="24"/>
          <w:lang w:eastAsia="zh-CN"/>
        </w:rPr>
        <w:t xml:space="preserve"> </w:t>
      </w:r>
      <w:r w:rsidRPr="00AD3F5E">
        <w:rPr>
          <w:rFonts w:ascii="Times New Roman" w:eastAsia="宋体" w:hAnsi="Times New Roman" w:cs="Times New Roman"/>
          <w:snapToGrid/>
          <w:sz w:val="24"/>
          <w:szCs w:val="24"/>
          <w:lang w:eastAsia="zh-CN"/>
        </w:rPr>
        <w:t xml:space="preserve">   </w:t>
      </w:r>
      <w:r w:rsidRPr="00AD3F5E">
        <w:rPr>
          <w:rFonts w:ascii="Times New Roman" w:eastAsia="宋体" w:hAnsi="Times New Roman" w:cs="Times New Roman"/>
          <w:noProof/>
          <w:snapToGrid/>
          <w:sz w:val="24"/>
          <w:szCs w:val="24"/>
          <w:lang w:eastAsia="zh-CN"/>
        </w:rPr>
        <w:drawing>
          <wp:inline distT="0" distB="0" distL="0" distR="0" wp14:anchorId="77CE5052" wp14:editId="40EC4430">
            <wp:extent cx="2644140" cy="525780"/>
            <wp:effectExtent l="0" t="0" r="381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4140" cy="525780"/>
                    </a:xfrm>
                    <a:prstGeom prst="rect">
                      <a:avLst/>
                    </a:prstGeom>
                    <a:noFill/>
                    <a:ln>
                      <a:noFill/>
                    </a:ln>
                  </pic:spPr>
                </pic:pic>
              </a:graphicData>
            </a:graphic>
          </wp:inline>
        </w:drawing>
      </w:r>
    </w:p>
    <w:p w14:paraId="063EA227" w14:textId="77777777"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AD3F5E">
        <w:rPr>
          <w:rFonts w:ascii="Times New Roman" w:eastAsia="宋体" w:hAnsi="Times New Roman" w:cs="Times New Roman"/>
          <w:snapToGrid/>
          <w:sz w:val="24"/>
          <w:szCs w:val="24"/>
          <w:lang w:eastAsia="zh-CN"/>
        </w:rPr>
        <w:t xml:space="preserve">Where: </w:t>
      </w:r>
    </w:p>
    <w:p w14:paraId="2BDF5A68" w14:textId="0ADC688A"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397689">
        <w:rPr>
          <w:rFonts w:ascii="Times New Roman" w:eastAsia="宋体" w:hAnsi="Times New Roman" w:cs="Times New Roman" w:hint="eastAsia"/>
          <w:color w:val="000000" w:themeColor="text1"/>
          <w:sz w:val="24"/>
          <w:szCs w:val="24"/>
        </w:rPr>
        <w:t>•</w:t>
      </w:r>
      <w:r w:rsidRPr="00397689">
        <w:rPr>
          <w:rFonts w:ascii="Times New Roman" w:eastAsia="宋体" w:hAnsi="Times New Roman" w:cs="Times New Roman"/>
          <w:color w:val="000000" w:themeColor="text1"/>
          <w:sz w:val="24"/>
          <w:szCs w:val="24"/>
        </w:rPr>
        <w:t xml:space="preserve"> </w:t>
      </w:r>
      <w:proofErr w:type="spellStart"/>
      <w:r w:rsidRPr="00AD3F5E">
        <w:rPr>
          <w:rFonts w:ascii="Times New Roman" w:eastAsia="宋体" w:hAnsi="Times New Roman" w:cs="Times New Roman"/>
          <w:snapToGrid/>
          <w:sz w:val="24"/>
          <w:szCs w:val="24"/>
          <w:lang w:eastAsia="zh-CN"/>
        </w:rPr>
        <w:t>ADW</w:t>
      </w:r>
      <w:r w:rsidRPr="00AD3F5E">
        <w:rPr>
          <w:rFonts w:ascii="Times New Roman" w:eastAsia="宋体" w:hAnsi="Times New Roman" w:cs="Times New Roman"/>
          <w:snapToGrid/>
          <w:sz w:val="24"/>
          <w:szCs w:val="24"/>
          <w:vertAlign w:val="subscript"/>
          <w:lang w:eastAsia="zh-CN"/>
        </w:rPr>
        <w:t>lk</w:t>
      </w:r>
      <w:proofErr w:type="spellEnd"/>
      <w:r w:rsidRPr="00AD3F5E">
        <w:rPr>
          <w:rFonts w:ascii="Times New Roman" w:eastAsia="宋体" w:hAnsi="Times New Roman" w:cs="Times New Roman"/>
          <w:snapToGrid/>
          <w:sz w:val="24"/>
          <w:szCs w:val="24"/>
          <w:lang w:eastAsia="zh-CN"/>
        </w:rPr>
        <w:t xml:space="preserve"> is the attributable DW for disease sequela k in simulant l</w:t>
      </w:r>
      <w:r w:rsidRPr="00AD3F5E">
        <w:rPr>
          <w:rFonts w:ascii="Times New Roman" w:eastAsia="宋体" w:hAnsi="Times New Roman" w:cs="Times New Roman" w:hint="eastAsia"/>
          <w:snapToGrid/>
          <w:sz w:val="24"/>
          <w:szCs w:val="24"/>
          <w:lang w:eastAsia="zh-CN"/>
        </w:rPr>
        <w:t xml:space="preserve"> </w:t>
      </w:r>
      <w:proofErr w:type="spellStart"/>
      <w:r w:rsidRPr="00AD3F5E">
        <w:rPr>
          <w:rFonts w:ascii="Times New Roman" w:eastAsia="宋体" w:hAnsi="Times New Roman" w:cs="Times New Roman"/>
          <w:snapToGrid/>
          <w:sz w:val="24"/>
          <w:szCs w:val="24"/>
          <w:lang w:eastAsia="zh-CN"/>
        </w:rPr>
        <w:t>DW</w:t>
      </w:r>
      <w:r w:rsidRPr="00AD3F5E">
        <w:rPr>
          <w:rFonts w:ascii="Times New Roman" w:eastAsia="宋体" w:hAnsi="Times New Roman" w:cs="Times New Roman"/>
          <w:snapToGrid/>
          <w:sz w:val="24"/>
          <w:szCs w:val="24"/>
          <w:vertAlign w:val="subscript"/>
          <w:lang w:eastAsia="zh-CN"/>
        </w:rPr>
        <w:t>k</w:t>
      </w:r>
      <w:proofErr w:type="spellEnd"/>
      <w:r w:rsidRPr="00AD3F5E">
        <w:rPr>
          <w:rFonts w:ascii="Times New Roman" w:eastAsia="宋体" w:hAnsi="Times New Roman" w:cs="Times New Roman"/>
          <w:snapToGrid/>
          <w:sz w:val="24"/>
          <w:szCs w:val="24"/>
          <w:lang w:eastAsia="zh-CN"/>
        </w:rPr>
        <w:t xml:space="preserve"> is the DW for disease sequela k.</w:t>
      </w:r>
    </w:p>
    <w:p w14:paraId="329C1003" w14:textId="54286BC6"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snapToGrid/>
          <w:sz w:val="24"/>
          <w:szCs w:val="24"/>
          <w:lang w:eastAsia="zh-CN"/>
        </w:rPr>
      </w:pPr>
      <w:r w:rsidRPr="00397689">
        <w:rPr>
          <w:rFonts w:ascii="Times New Roman" w:eastAsia="宋体" w:hAnsi="Times New Roman" w:cs="Times New Roman" w:hint="eastAsia"/>
          <w:color w:val="000000" w:themeColor="text1"/>
          <w:sz w:val="24"/>
          <w:szCs w:val="24"/>
        </w:rPr>
        <w:t>•</w:t>
      </w:r>
      <w:r w:rsidRPr="00397689">
        <w:rPr>
          <w:rFonts w:ascii="Times New Roman" w:eastAsia="宋体" w:hAnsi="Times New Roman" w:cs="Times New Roman"/>
          <w:color w:val="000000" w:themeColor="text1"/>
          <w:sz w:val="24"/>
          <w:szCs w:val="24"/>
        </w:rPr>
        <w:t xml:space="preserve"> </w:t>
      </w:r>
      <w:r w:rsidRPr="00AD3F5E">
        <w:rPr>
          <w:rFonts w:ascii="Times New Roman" w:eastAsia="宋体" w:hAnsi="Times New Roman" w:cs="Times New Roman"/>
          <w:snapToGrid/>
          <w:sz w:val="24"/>
          <w:szCs w:val="24"/>
          <w:lang w:eastAsia="zh-CN"/>
        </w:rPr>
        <w:t xml:space="preserve">Simulant </w:t>
      </w:r>
      <w:proofErr w:type="spellStart"/>
      <w:r w:rsidRPr="00AD3F5E">
        <w:rPr>
          <w:rFonts w:ascii="Times New Roman" w:eastAsia="宋体" w:hAnsi="Times New Roman" w:cs="Times New Roman"/>
          <w:snapToGrid/>
          <w:sz w:val="24"/>
          <w:szCs w:val="24"/>
          <w:lang w:eastAsia="zh-CN"/>
        </w:rPr>
        <w:t>DW</w:t>
      </w:r>
      <w:r w:rsidRPr="00AD3F5E">
        <w:rPr>
          <w:rFonts w:ascii="Times New Roman" w:eastAsia="宋体" w:hAnsi="Times New Roman" w:cs="Times New Roman"/>
          <w:snapToGrid/>
          <w:sz w:val="24"/>
          <w:szCs w:val="24"/>
          <w:vertAlign w:val="subscript"/>
          <w:lang w:eastAsia="zh-CN"/>
        </w:rPr>
        <w:t>l</w:t>
      </w:r>
      <w:proofErr w:type="spellEnd"/>
      <w:r w:rsidRPr="00AD3F5E">
        <w:rPr>
          <w:rFonts w:ascii="Times New Roman" w:eastAsia="宋体" w:hAnsi="Times New Roman" w:cs="Times New Roman"/>
          <w:snapToGrid/>
          <w:sz w:val="24"/>
          <w:szCs w:val="24"/>
          <w:lang w:eastAsia="zh-CN"/>
        </w:rPr>
        <w:t xml:space="preserve"> is the DW for simulant l from the combination of all sequelae that they have acquired.</w:t>
      </w:r>
    </w:p>
    <w:p w14:paraId="4D3B2168" w14:textId="4F4F97B8" w:rsidR="00AD3F5E" w:rsidRPr="00AD3F5E" w:rsidRDefault="00AD3F5E" w:rsidP="00AD3F5E">
      <w:pPr>
        <w:widowControl w:val="0"/>
        <w:kinsoku/>
        <w:autoSpaceDE/>
        <w:autoSpaceDN/>
        <w:adjustRightInd/>
        <w:snapToGrid/>
        <w:spacing w:line="480" w:lineRule="auto"/>
        <w:jc w:val="both"/>
        <w:textAlignment w:val="auto"/>
        <w:rPr>
          <w:rFonts w:ascii="Times New Roman" w:eastAsia="宋体" w:hAnsi="Times New Roman" w:cs="Times New Roman" w:hint="eastAsia"/>
          <w:snapToGrid/>
          <w:sz w:val="24"/>
          <w:szCs w:val="24"/>
          <w:lang w:eastAsia="zh-CN"/>
        </w:rPr>
      </w:pPr>
      <w:r w:rsidRPr="00397689">
        <w:rPr>
          <w:rFonts w:ascii="Times New Roman" w:eastAsia="宋体" w:hAnsi="Times New Roman" w:cs="Times New Roman" w:hint="eastAsia"/>
          <w:color w:val="000000" w:themeColor="text1"/>
          <w:sz w:val="24"/>
          <w:szCs w:val="24"/>
        </w:rPr>
        <w:t>•</w:t>
      </w:r>
      <w:r w:rsidRPr="00397689">
        <w:rPr>
          <w:rFonts w:ascii="Times New Roman" w:eastAsia="宋体" w:hAnsi="Times New Roman" w:cs="Times New Roman"/>
          <w:color w:val="000000" w:themeColor="text1"/>
          <w:sz w:val="24"/>
          <w:szCs w:val="24"/>
        </w:rPr>
        <w:t xml:space="preserve"> </w:t>
      </w:r>
      <w:r w:rsidRPr="00AD3F5E">
        <w:rPr>
          <w:rFonts w:ascii="Times New Roman" w:eastAsia="宋体" w:hAnsi="Times New Roman" w:cs="Times New Roman"/>
          <w:snapToGrid/>
          <w:sz w:val="24"/>
          <w:szCs w:val="24"/>
          <w:lang w:eastAsia="zh-CN"/>
        </w:rPr>
        <w:t>This formula apportions the overall simulant DW to each condition in proportion to the DW of each condition in isolation.</w:t>
      </w:r>
    </w:p>
    <w:p w14:paraId="556689B1" w14:textId="707D7C0E" w:rsidR="00AD3F5E" w:rsidRPr="00AD3F5E" w:rsidRDefault="00AD3F5E" w:rsidP="00AD3F5E">
      <w:pPr>
        <w:pStyle w:val="a3"/>
        <w:spacing w:before="69" w:line="480" w:lineRule="auto"/>
        <w:ind w:left="17" w:firstLineChars="200" w:firstLine="480"/>
        <w:rPr>
          <w:rFonts w:eastAsiaTheme="minorEastAsia"/>
          <w:spacing w:val="-1"/>
          <w:lang w:eastAsia="zh-CN"/>
        </w:rPr>
      </w:pPr>
      <w:r w:rsidRPr="00AD3F5E">
        <w:rPr>
          <w:rFonts w:eastAsia="宋体"/>
          <w:snapToGrid/>
          <w:lang w:eastAsia="zh-CN"/>
        </w:rPr>
        <w:t xml:space="preserve">Finally, YLDs per capita in an age-sex-country-year are computed by taking the sum of the attributable DWs for a disease sequela across simulants. The actual number of YLDs from disease sequela k in an age-sex-location-year is then computed as the YLD rate k times the appropriate age-sex-location-year population. GBD 2021 </w:t>
      </w:r>
      <w:r w:rsidRPr="00AD3F5E">
        <w:rPr>
          <w:rFonts w:eastAsia="宋体"/>
          <w:snapToGrid/>
          <w:lang w:eastAsia="zh-CN"/>
        </w:rPr>
        <w:lastRenderedPageBreak/>
        <w:t>determined the disability weights for each sequela from the GBD disability weight survey.</w:t>
      </w:r>
    </w:p>
    <w:p w14:paraId="47B6EE37" w14:textId="77777777" w:rsidR="00AD3F5E" w:rsidRDefault="00AD3F5E" w:rsidP="00E81AB9">
      <w:pPr>
        <w:pStyle w:val="a3"/>
        <w:spacing w:before="69" w:line="189" w:lineRule="auto"/>
        <w:ind w:left="19"/>
        <w:rPr>
          <w:rFonts w:eastAsiaTheme="minorEastAsia"/>
          <w:b/>
          <w:bCs/>
          <w:spacing w:val="-1"/>
          <w:lang w:eastAsia="zh-CN"/>
        </w:rPr>
      </w:pPr>
    </w:p>
    <w:p w14:paraId="2905197E" w14:textId="6C1A0FF4" w:rsidR="00722FD9" w:rsidRDefault="00AD3F5E" w:rsidP="00AD3F5E">
      <w:pPr>
        <w:pStyle w:val="a3"/>
        <w:spacing w:before="69" w:line="189" w:lineRule="auto"/>
      </w:pPr>
      <w:r>
        <w:rPr>
          <w:rFonts w:eastAsiaTheme="minorEastAsia" w:hint="eastAsia"/>
          <w:b/>
          <w:bCs/>
          <w:spacing w:val="-1"/>
          <w:lang w:eastAsia="zh-CN"/>
        </w:rPr>
        <w:t xml:space="preserve">2. </w:t>
      </w:r>
      <w:r w:rsidR="00000000">
        <w:rPr>
          <w:b/>
          <w:bCs/>
          <w:spacing w:val="-1"/>
        </w:rPr>
        <w:t>Frontier</w:t>
      </w:r>
      <w:r w:rsidR="00000000">
        <w:rPr>
          <w:b/>
          <w:bCs/>
          <w:spacing w:val="-12"/>
        </w:rPr>
        <w:t xml:space="preserve"> </w:t>
      </w:r>
      <w:r w:rsidR="00000000">
        <w:rPr>
          <w:b/>
          <w:bCs/>
          <w:spacing w:val="-1"/>
        </w:rPr>
        <w:t>Analysis</w:t>
      </w:r>
    </w:p>
    <w:p w14:paraId="43AFADD9" w14:textId="77777777" w:rsidR="00722FD9" w:rsidRDefault="00722FD9">
      <w:pPr>
        <w:spacing w:line="307" w:lineRule="auto"/>
      </w:pPr>
    </w:p>
    <w:p w14:paraId="45AD3037" w14:textId="3BB70D66" w:rsidR="00722FD9" w:rsidRDefault="00000000">
      <w:pPr>
        <w:pStyle w:val="a3"/>
        <w:spacing w:before="69" w:line="536" w:lineRule="auto"/>
        <w:ind w:left="14" w:firstLine="427"/>
        <w:jc w:val="both"/>
      </w:pPr>
      <w:r>
        <w:t>To investigate the correlation between the burden of</w:t>
      </w:r>
      <w:r>
        <w:rPr>
          <w:spacing w:val="-19"/>
        </w:rPr>
        <w:t xml:space="preserve"> </w:t>
      </w:r>
      <w:r w:rsidR="00E81AB9" w:rsidRPr="00E81AB9">
        <w:t>diabetes in adolescents and young adults</w:t>
      </w:r>
      <w:r>
        <w:t xml:space="preserve"> and</w:t>
      </w:r>
      <w:r>
        <w:rPr>
          <w:spacing w:val="13"/>
        </w:rPr>
        <w:t xml:space="preserve"> </w:t>
      </w:r>
      <w:r>
        <w:t>socio-</w:t>
      </w:r>
      <w:proofErr w:type="gramStart"/>
      <w:r>
        <w:t>demog</w:t>
      </w:r>
      <w:r>
        <w:rPr>
          <w:spacing w:val="-1"/>
        </w:rPr>
        <w:t>raphic</w:t>
      </w:r>
      <w:r>
        <w:t xml:space="preserve">  development</w:t>
      </w:r>
      <w:proofErr w:type="gramEnd"/>
      <w:r>
        <w:t>,</w:t>
      </w:r>
      <w:r>
        <w:rPr>
          <w:spacing w:val="42"/>
        </w:rPr>
        <w:t xml:space="preserve"> </w:t>
      </w:r>
      <w:r>
        <w:t>we</w:t>
      </w:r>
      <w:r>
        <w:rPr>
          <w:spacing w:val="39"/>
        </w:rPr>
        <w:t xml:space="preserve"> </w:t>
      </w:r>
      <w:r>
        <w:t>utiliz</w:t>
      </w:r>
      <w:r>
        <w:rPr>
          <w:spacing w:val="-1"/>
        </w:rPr>
        <w:t>ed</w:t>
      </w:r>
      <w:r>
        <w:rPr>
          <w:spacing w:val="50"/>
        </w:rPr>
        <w:t xml:space="preserve"> </w:t>
      </w:r>
      <w:r>
        <w:rPr>
          <w:spacing w:val="-1"/>
        </w:rPr>
        <w:t>a</w:t>
      </w:r>
      <w:r>
        <w:rPr>
          <w:spacing w:val="49"/>
        </w:rPr>
        <w:t xml:space="preserve"> </w:t>
      </w:r>
      <w:r>
        <w:rPr>
          <w:spacing w:val="-1"/>
        </w:rPr>
        <w:t>frontier</w:t>
      </w:r>
      <w:r>
        <w:rPr>
          <w:spacing w:val="48"/>
          <w:w w:val="101"/>
        </w:rPr>
        <w:t xml:space="preserve"> </w:t>
      </w:r>
      <w:r>
        <w:rPr>
          <w:spacing w:val="-1"/>
        </w:rPr>
        <w:t>analysis,</w:t>
      </w:r>
      <w:r>
        <w:rPr>
          <w:spacing w:val="50"/>
          <w:w w:val="101"/>
        </w:rPr>
        <w:t xml:space="preserve"> </w:t>
      </w:r>
      <w:r>
        <w:rPr>
          <w:spacing w:val="-1"/>
        </w:rPr>
        <w:t>a</w:t>
      </w:r>
      <w:r>
        <w:rPr>
          <w:spacing w:val="49"/>
          <w:w w:val="101"/>
        </w:rPr>
        <w:t xml:space="preserve"> </w:t>
      </w:r>
      <w:r>
        <w:rPr>
          <w:spacing w:val="-1"/>
        </w:rPr>
        <w:t>quantitative</w:t>
      </w:r>
      <w:r>
        <w:rPr>
          <w:spacing w:val="43"/>
        </w:rPr>
        <w:t xml:space="preserve"> </w:t>
      </w:r>
      <w:r>
        <w:rPr>
          <w:spacing w:val="-1"/>
        </w:rPr>
        <w:t>method</w:t>
      </w:r>
      <w:r>
        <w:rPr>
          <w:spacing w:val="42"/>
        </w:rPr>
        <w:t xml:space="preserve"> </w:t>
      </w:r>
      <w:r>
        <w:rPr>
          <w:spacing w:val="-1"/>
        </w:rPr>
        <w:t>to</w:t>
      </w:r>
      <w:r>
        <w:rPr>
          <w:spacing w:val="41"/>
        </w:rPr>
        <w:t xml:space="preserve"> </w:t>
      </w:r>
      <w:r>
        <w:rPr>
          <w:spacing w:val="-1"/>
        </w:rPr>
        <w:t>pinpoint</w:t>
      </w:r>
      <w:r>
        <w:rPr>
          <w:spacing w:val="44"/>
        </w:rPr>
        <w:t xml:space="preserve"> </w:t>
      </w:r>
      <w:r>
        <w:rPr>
          <w:spacing w:val="-1"/>
        </w:rPr>
        <w:t>the</w:t>
      </w:r>
      <w:r>
        <w:t xml:space="preserve">  </w:t>
      </w:r>
      <w:r>
        <w:rPr>
          <w:spacing w:val="-1"/>
        </w:rPr>
        <w:t>lowest  achievable  age-standardized  prevalence,  deaths,  and  DALYs  rate  based  on</w:t>
      </w:r>
      <w:r>
        <w:t xml:space="preserve">  </w:t>
      </w:r>
      <w:r>
        <w:rPr>
          <w:spacing w:val="-1"/>
        </w:rPr>
        <w:t>development</w:t>
      </w:r>
      <w:r>
        <w:rPr>
          <w:spacing w:val="30"/>
        </w:rPr>
        <w:t xml:space="preserve"> </w:t>
      </w:r>
      <w:r>
        <w:rPr>
          <w:spacing w:val="-1"/>
        </w:rPr>
        <w:t>status</w:t>
      </w:r>
      <w:r>
        <w:rPr>
          <w:spacing w:val="28"/>
        </w:rPr>
        <w:t xml:space="preserve"> </w:t>
      </w:r>
      <w:r>
        <w:rPr>
          <w:spacing w:val="-1"/>
        </w:rPr>
        <w:t>as</w:t>
      </w:r>
      <w:r>
        <w:rPr>
          <w:spacing w:val="25"/>
          <w:w w:val="101"/>
        </w:rPr>
        <w:t xml:space="preserve"> </w:t>
      </w:r>
      <w:r>
        <w:rPr>
          <w:spacing w:val="-1"/>
        </w:rPr>
        <w:t>indicated</w:t>
      </w:r>
      <w:r>
        <w:rPr>
          <w:spacing w:val="19"/>
        </w:rPr>
        <w:t xml:space="preserve"> </w:t>
      </w:r>
      <w:r>
        <w:rPr>
          <w:spacing w:val="-1"/>
        </w:rPr>
        <w:t>by</w:t>
      </w:r>
      <w:r>
        <w:rPr>
          <w:spacing w:val="21"/>
          <w:w w:val="101"/>
        </w:rPr>
        <w:t xml:space="preserve"> </w:t>
      </w:r>
      <w:r>
        <w:rPr>
          <w:spacing w:val="-1"/>
        </w:rPr>
        <w:t>the</w:t>
      </w:r>
      <w:r>
        <w:rPr>
          <w:spacing w:val="33"/>
          <w:w w:val="101"/>
        </w:rPr>
        <w:t xml:space="preserve"> </w:t>
      </w:r>
      <w:r>
        <w:rPr>
          <w:spacing w:val="-1"/>
        </w:rPr>
        <w:t>Socio-demographic</w:t>
      </w:r>
      <w:r>
        <w:rPr>
          <w:spacing w:val="23"/>
        </w:rPr>
        <w:t xml:space="preserve"> </w:t>
      </w:r>
      <w:r>
        <w:rPr>
          <w:spacing w:val="-1"/>
        </w:rPr>
        <w:t>Index</w:t>
      </w:r>
      <w:r>
        <w:rPr>
          <w:spacing w:val="27"/>
          <w:w w:val="101"/>
        </w:rPr>
        <w:t xml:space="preserve"> </w:t>
      </w:r>
      <w:r>
        <w:rPr>
          <w:spacing w:val="-1"/>
        </w:rPr>
        <w:t>(</w:t>
      </w:r>
      <w:r>
        <w:rPr>
          <w:spacing w:val="-2"/>
        </w:rPr>
        <w:t>SDI).</w:t>
      </w:r>
      <w:r>
        <w:rPr>
          <w:spacing w:val="27"/>
          <w:w w:val="101"/>
        </w:rPr>
        <w:t xml:space="preserve"> </w:t>
      </w:r>
      <w:r>
        <w:rPr>
          <w:spacing w:val="-2"/>
        </w:rPr>
        <w:t>The</w:t>
      </w:r>
      <w:r>
        <w:rPr>
          <w:spacing w:val="27"/>
        </w:rPr>
        <w:t xml:space="preserve"> </w:t>
      </w:r>
      <w:proofErr w:type="gramStart"/>
      <w:r>
        <w:rPr>
          <w:spacing w:val="-2"/>
        </w:rPr>
        <w:t>frontier</w:t>
      </w:r>
      <w:r>
        <w:t xml:space="preserve">  for</w:t>
      </w:r>
      <w:proofErr w:type="gramEnd"/>
      <w:r>
        <w:t xml:space="preserve"> deaths, and DALYs marks the minimum</w:t>
      </w:r>
      <w:r>
        <w:rPr>
          <w:spacing w:val="6"/>
        </w:rPr>
        <w:t xml:space="preserve"> </w:t>
      </w:r>
      <w:r>
        <w:t>values</w:t>
      </w:r>
      <w:r>
        <w:rPr>
          <w:spacing w:val="7"/>
        </w:rPr>
        <w:t xml:space="preserve"> </w:t>
      </w:r>
      <w:r>
        <w:t>that</w:t>
      </w:r>
      <w:r>
        <w:rPr>
          <w:spacing w:val="12"/>
        </w:rPr>
        <w:t xml:space="preserve"> </w:t>
      </w:r>
      <w:r>
        <w:t>ca</w:t>
      </w:r>
      <w:r>
        <w:rPr>
          <w:spacing w:val="-1"/>
        </w:rPr>
        <w:t>n</w:t>
      </w:r>
      <w:r>
        <w:rPr>
          <w:spacing w:val="5"/>
        </w:rPr>
        <w:t xml:space="preserve"> </w:t>
      </w:r>
      <w:r>
        <w:rPr>
          <w:spacing w:val="-1"/>
        </w:rPr>
        <w:t>be</w:t>
      </w:r>
      <w:r>
        <w:rPr>
          <w:spacing w:val="5"/>
        </w:rPr>
        <w:t xml:space="preserve"> </w:t>
      </w:r>
      <w:r>
        <w:rPr>
          <w:spacing w:val="-1"/>
        </w:rPr>
        <w:t>reached</w:t>
      </w:r>
      <w:r>
        <w:rPr>
          <w:spacing w:val="4"/>
        </w:rPr>
        <w:t xml:space="preserve"> </w:t>
      </w:r>
      <w:r>
        <w:rPr>
          <w:spacing w:val="-1"/>
        </w:rPr>
        <w:t>by</w:t>
      </w:r>
      <w:r>
        <w:t xml:space="preserve">  </w:t>
      </w:r>
      <w:r>
        <w:rPr>
          <w:spacing w:val="-1"/>
        </w:rPr>
        <w:t>any</w:t>
      </w:r>
      <w:r>
        <w:rPr>
          <w:spacing w:val="47"/>
          <w:w w:val="101"/>
        </w:rPr>
        <w:t xml:space="preserve"> </w:t>
      </w:r>
      <w:r>
        <w:rPr>
          <w:spacing w:val="-1"/>
        </w:rPr>
        <w:t>country</w:t>
      </w:r>
      <w:r>
        <w:rPr>
          <w:spacing w:val="47"/>
          <w:w w:val="101"/>
        </w:rPr>
        <w:t xml:space="preserve"> </w:t>
      </w:r>
      <w:r>
        <w:rPr>
          <w:spacing w:val="-1"/>
        </w:rPr>
        <w:t>or</w:t>
      </w:r>
      <w:r>
        <w:rPr>
          <w:spacing w:val="40"/>
        </w:rPr>
        <w:t xml:space="preserve"> </w:t>
      </w:r>
      <w:r>
        <w:rPr>
          <w:spacing w:val="-1"/>
        </w:rPr>
        <w:t>region,</w:t>
      </w:r>
      <w:r>
        <w:rPr>
          <w:spacing w:val="49"/>
          <w:w w:val="101"/>
        </w:rPr>
        <w:t xml:space="preserve"> </w:t>
      </w:r>
      <w:r>
        <w:rPr>
          <w:spacing w:val="-1"/>
        </w:rPr>
        <w:t>given</w:t>
      </w:r>
      <w:r>
        <w:rPr>
          <w:spacing w:val="47"/>
        </w:rPr>
        <w:t xml:space="preserve"> </w:t>
      </w:r>
      <w:r>
        <w:rPr>
          <w:spacing w:val="-1"/>
        </w:rPr>
        <w:t>its</w:t>
      </w:r>
      <w:r>
        <w:rPr>
          <w:spacing w:val="56"/>
          <w:w w:val="101"/>
        </w:rPr>
        <w:t xml:space="preserve"> </w:t>
      </w:r>
      <w:r>
        <w:rPr>
          <w:spacing w:val="-2"/>
        </w:rPr>
        <w:t>SDI.</w:t>
      </w:r>
      <w:r>
        <w:rPr>
          <w:spacing w:val="46"/>
          <w:w w:val="101"/>
        </w:rPr>
        <w:t xml:space="preserve"> </w:t>
      </w:r>
      <w:r>
        <w:rPr>
          <w:spacing w:val="-2"/>
        </w:rPr>
        <w:t>The</w:t>
      </w:r>
      <w:r>
        <w:rPr>
          <w:spacing w:val="48"/>
        </w:rPr>
        <w:t xml:space="preserve"> </w:t>
      </w:r>
      <w:r>
        <w:rPr>
          <w:spacing w:val="-2"/>
        </w:rPr>
        <w:t>effective</w:t>
      </w:r>
      <w:r>
        <w:rPr>
          <w:spacing w:val="47"/>
          <w:w w:val="101"/>
        </w:rPr>
        <w:t xml:space="preserve"> </w:t>
      </w:r>
      <w:r>
        <w:rPr>
          <w:spacing w:val="-2"/>
        </w:rPr>
        <w:t>difference</w:t>
      </w:r>
      <w:r>
        <w:rPr>
          <w:spacing w:val="46"/>
          <w:w w:val="101"/>
        </w:rPr>
        <w:t xml:space="preserve"> </w:t>
      </w:r>
      <w:r>
        <w:rPr>
          <w:spacing w:val="-2"/>
        </w:rPr>
        <w:t>is</w:t>
      </w:r>
      <w:r>
        <w:rPr>
          <w:spacing w:val="43"/>
          <w:w w:val="101"/>
        </w:rPr>
        <w:t xml:space="preserve"> </w:t>
      </w:r>
      <w:r>
        <w:rPr>
          <w:spacing w:val="-2"/>
        </w:rPr>
        <w:t>the</w:t>
      </w:r>
      <w:r>
        <w:rPr>
          <w:spacing w:val="47"/>
        </w:rPr>
        <w:t xml:space="preserve"> </w:t>
      </w:r>
      <w:r>
        <w:rPr>
          <w:spacing w:val="-2"/>
        </w:rPr>
        <w:t>gap</w:t>
      </w:r>
      <w:r>
        <w:rPr>
          <w:spacing w:val="49"/>
        </w:rPr>
        <w:t xml:space="preserve"> </w:t>
      </w:r>
      <w:r>
        <w:rPr>
          <w:spacing w:val="-2"/>
        </w:rPr>
        <w:t>from</w:t>
      </w:r>
      <w:r>
        <w:rPr>
          <w:spacing w:val="42"/>
        </w:rPr>
        <w:t xml:space="preserve"> </w:t>
      </w:r>
      <w:proofErr w:type="gramStart"/>
      <w:r>
        <w:rPr>
          <w:spacing w:val="-2"/>
        </w:rPr>
        <w:t>the</w:t>
      </w:r>
      <w:r>
        <w:t xml:space="preserve">  frontier</w:t>
      </w:r>
      <w:proofErr w:type="gramEnd"/>
      <w:r>
        <w:t>;  a  larger  effective  difference</w:t>
      </w:r>
      <w:r>
        <w:rPr>
          <w:spacing w:val="7"/>
        </w:rPr>
        <w:t xml:space="preserve">  </w:t>
      </w:r>
      <w:r>
        <w:t>indicates  potential</w:t>
      </w:r>
      <w:r>
        <w:rPr>
          <w:spacing w:val="2"/>
        </w:rPr>
        <w:t xml:space="preserve">  </w:t>
      </w:r>
      <w:r>
        <w:t>unrea</w:t>
      </w:r>
      <w:r>
        <w:rPr>
          <w:spacing w:val="-1"/>
        </w:rPr>
        <w:t>lized</w:t>
      </w:r>
      <w:r>
        <w:rPr>
          <w:spacing w:val="5"/>
        </w:rPr>
        <w:t xml:space="preserve">  </w:t>
      </w:r>
      <w:r>
        <w:rPr>
          <w:spacing w:val="-1"/>
        </w:rPr>
        <w:t>improvements</w:t>
      </w:r>
      <w:r>
        <w:t xml:space="preserve">  (reductions</w:t>
      </w:r>
      <w:r>
        <w:rPr>
          <w:spacing w:val="14"/>
        </w:rPr>
        <w:t xml:space="preserve"> </w:t>
      </w:r>
      <w:r>
        <w:t xml:space="preserve">in </w:t>
      </w:r>
      <w:r w:rsidR="00E81AB9" w:rsidRPr="001B22D8">
        <w:rPr>
          <w:szCs w:val="28"/>
        </w:rPr>
        <w:t>diabetes in adolescents and young adults</w:t>
      </w:r>
      <w:r>
        <w:rPr>
          <w:spacing w:val="17"/>
        </w:rPr>
        <w:t xml:space="preserve"> </w:t>
      </w:r>
      <w:r>
        <w:rPr>
          <w:spacing w:val="-1"/>
        </w:rPr>
        <w:t>deaths,</w:t>
      </w:r>
      <w:r>
        <w:rPr>
          <w:spacing w:val="19"/>
        </w:rPr>
        <w:t xml:space="preserve"> </w:t>
      </w:r>
      <w:r>
        <w:rPr>
          <w:spacing w:val="-1"/>
        </w:rPr>
        <w:t>and DALYs) based</w:t>
      </w:r>
      <w:r>
        <w:rPr>
          <w:spacing w:val="17"/>
        </w:rPr>
        <w:t xml:space="preserve"> </w:t>
      </w:r>
      <w:r>
        <w:rPr>
          <w:spacing w:val="-1"/>
        </w:rPr>
        <w:t>on the</w:t>
      </w:r>
      <w:r>
        <w:rPr>
          <w:spacing w:val="17"/>
        </w:rPr>
        <w:t xml:space="preserve"> </w:t>
      </w:r>
      <w:r>
        <w:rPr>
          <w:spacing w:val="-1"/>
        </w:rPr>
        <w:t>country</w:t>
      </w:r>
      <w:r>
        <w:rPr>
          <w:spacing w:val="17"/>
        </w:rPr>
        <w:t xml:space="preserve"> </w:t>
      </w:r>
      <w:r>
        <w:rPr>
          <w:spacing w:val="-1"/>
        </w:rPr>
        <w:t>or region’s</w:t>
      </w:r>
      <w:r>
        <w:t xml:space="preserve">  </w:t>
      </w:r>
      <w:r>
        <w:rPr>
          <w:spacing w:val="-1"/>
        </w:rPr>
        <w:t>development</w:t>
      </w:r>
      <w:r>
        <w:rPr>
          <w:spacing w:val="42"/>
        </w:rPr>
        <w:t xml:space="preserve"> </w:t>
      </w:r>
      <w:r>
        <w:rPr>
          <w:spacing w:val="-1"/>
        </w:rPr>
        <w:t>stage.</w:t>
      </w:r>
      <w:r>
        <w:rPr>
          <w:spacing w:val="33"/>
        </w:rPr>
        <w:t xml:space="preserve"> </w:t>
      </w:r>
      <w:r>
        <w:rPr>
          <w:spacing w:val="-1"/>
        </w:rPr>
        <w:t>We</w:t>
      </w:r>
      <w:r>
        <w:rPr>
          <w:spacing w:val="38"/>
        </w:rPr>
        <w:t xml:space="preserve"> </w:t>
      </w:r>
      <w:r>
        <w:rPr>
          <w:spacing w:val="-1"/>
        </w:rPr>
        <w:t>created</w:t>
      </w:r>
      <w:r>
        <w:rPr>
          <w:spacing w:val="38"/>
        </w:rPr>
        <w:t xml:space="preserve"> </w:t>
      </w:r>
      <w:r>
        <w:rPr>
          <w:spacing w:val="-1"/>
        </w:rPr>
        <w:t>a</w:t>
      </w:r>
      <w:r>
        <w:rPr>
          <w:spacing w:val="39"/>
          <w:w w:val="101"/>
        </w:rPr>
        <w:t xml:space="preserve"> </w:t>
      </w:r>
      <w:r>
        <w:rPr>
          <w:spacing w:val="-1"/>
        </w:rPr>
        <w:t>frontier</w:t>
      </w:r>
      <w:r>
        <w:rPr>
          <w:spacing w:val="39"/>
        </w:rPr>
        <w:t xml:space="preserve"> </w:t>
      </w:r>
      <w:r>
        <w:rPr>
          <w:spacing w:val="-1"/>
        </w:rPr>
        <w:t>for</w:t>
      </w:r>
      <w:r>
        <w:rPr>
          <w:spacing w:val="37"/>
        </w:rPr>
        <w:t xml:space="preserve"> </w:t>
      </w:r>
      <w:r>
        <w:rPr>
          <w:spacing w:val="-1"/>
        </w:rPr>
        <w:t>age-adjusted</w:t>
      </w:r>
      <w:r>
        <w:rPr>
          <w:spacing w:val="33"/>
          <w:w w:val="101"/>
        </w:rPr>
        <w:t xml:space="preserve"> </w:t>
      </w:r>
      <w:r w:rsidR="00E81AB9" w:rsidRPr="001B22D8">
        <w:rPr>
          <w:szCs w:val="28"/>
        </w:rPr>
        <w:t>diabetes in adolescents and young adults</w:t>
      </w:r>
      <w:r>
        <w:rPr>
          <w:spacing w:val="38"/>
        </w:rPr>
        <w:t xml:space="preserve"> </w:t>
      </w:r>
      <w:proofErr w:type="gramStart"/>
      <w:r>
        <w:rPr>
          <w:spacing w:val="-2"/>
        </w:rPr>
        <w:t>deaths,</w:t>
      </w:r>
      <w:r>
        <w:t xml:space="preserve">  </w:t>
      </w:r>
      <w:r>
        <w:rPr>
          <w:spacing w:val="-2"/>
        </w:rPr>
        <w:t>an</w:t>
      </w:r>
      <w:r>
        <w:rPr>
          <w:spacing w:val="-1"/>
        </w:rPr>
        <w:t>d</w:t>
      </w:r>
      <w:proofErr w:type="gramEnd"/>
      <w:r>
        <w:rPr>
          <w:spacing w:val="63"/>
        </w:rPr>
        <w:t xml:space="preserve"> </w:t>
      </w:r>
      <w:r>
        <w:rPr>
          <w:spacing w:val="-1"/>
        </w:rPr>
        <w:t>DALYs</w:t>
      </w:r>
      <w:r>
        <w:rPr>
          <w:spacing w:val="54"/>
          <w:w w:val="101"/>
        </w:rPr>
        <w:t xml:space="preserve"> </w:t>
      </w:r>
      <w:r>
        <w:rPr>
          <w:spacing w:val="-1"/>
        </w:rPr>
        <w:t>by  SDI  using  the  free  disposal  hull  method  for  a  non-linear  frontie</w:t>
      </w:r>
      <w:r>
        <w:rPr>
          <w:spacing w:val="1"/>
        </w:rPr>
        <w:t>r</w:t>
      </w:r>
      <w:r>
        <w:t xml:space="preserve"> </w:t>
      </w:r>
      <w:r>
        <w:rPr>
          <w:spacing w:val="-1"/>
        </w:rPr>
        <w:t>delineation,</w:t>
      </w:r>
      <w:r>
        <w:rPr>
          <w:spacing w:val="32"/>
          <w:w w:val="101"/>
        </w:rPr>
        <w:t xml:space="preserve"> </w:t>
      </w:r>
      <w:r>
        <w:rPr>
          <w:spacing w:val="-1"/>
        </w:rPr>
        <w:t>employing</w:t>
      </w:r>
      <w:r>
        <w:rPr>
          <w:spacing w:val="18"/>
        </w:rPr>
        <w:t xml:space="preserve"> </w:t>
      </w:r>
      <w:r>
        <w:rPr>
          <w:spacing w:val="-1"/>
        </w:rPr>
        <w:t>data</w:t>
      </w:r>
      <w:r>
        <w:rPr>
          <w:spacing w:val="19"/>
          <w:w w:val="101"/>
        </w:rPr>
        <w:t xml:space="preserve"> </w:t>
      </w:r>
      <w:r>
        <w:rPr>
          <w:spacing w:val="-1"/>
        </w:rPr>
        <w:t>from</w:t>
      </w:r>
      <w:r>
        <w:rPr>
          <w:spacing w:val="38"/>
          <w:w w:val="101"/>
        </w:rPr>
        <w:t xml:space="preserve"> </w:t>
      </w:r>
      <w:r>
        <w:rPr>
          <w:spacing w:val="-1"/>
        </w:rPr>
        <w:t>1990-20</w:t>
      </w:r>
      <w:r w:rsidR="00E81AB9">
        <w:rPr>
          <w:spacing w:val="-1"/>
        </w:rPr>
        <w:t>21</w:t>
      </w:r>
      <w:r>
        <w:rPr>
          <w:spacing w:val="-1"/>
        </w:rPr>
        <w:t>. We managed uncertainty by</w:t>
      </w:r>
      <w:r>
        <w:rPr>
          <w:spacing w:val="10"/>
        </w:rPr>
        <w:t xml:space="preserve"> </w:t>
      </w:r>
      <w:r>
        <w:rPr>
          <w:spacing w:val="-1"/>
        </w:rPr>
        <w:t>using</w:t>
      </w:r>
      <w:r>
        <w:rPr>
          <w:spacing w:val="38"/>
          <w:w w:val="101"/>
        </w:rPr>
        <w:t xml:space="preserve"> </w:t>
      </w:r>
      <w:r>
        <w:rPr>
          <w:spacing w:val="-1"/>
        </w:rPr>
        <w:t>100</w:t>
      </w:r>
      <w:r>
        <w:t xml:space="preserve"> </w:t>
      </w:r>
      <w:proofErr w:type="gramStart"/>
      <w:r>
        <w:t>bootstrapped</w:t>
      </w:r>
      <w:r>
        <w:rPr>
          <w:spacing w:val="19"/>
        </w:rPr>
        <w:t xml:space="preserve">  </w:t>
      </w:r>
      <w:r>
        <w:t>samples</w:t>
      </w:r>
      <w:proofErr w:type="gramEnd"/>
      <w:r>
        <w:t xml:space="preserve">  of  the</w:t>
      </w:r>
      <w:r>
        <w:rPr>
          <w:spacing w:val="14"/>
        </w:rPr>
        <w:t xml:space="preserve">  </w:t>
      </w:r>
      <w:r>
        <w:t>data,  random   sampling  with</w:t>
      </w:r>
      <w:r>
        <w:rPr>
          <w:spacing w:val="12"/>
        </w:rPr>
        <w:t xml:space="preserve">  </w:t>
      </w:r>
      <w:r>
        <w:t>replacement   from  all  countries and territories in all years. We then computed</w:t>
      </w:r>
      <w:r>
        <w:rPr>
          <w:spacing w:val="3"/>
        </w:rPr>
        <w:t xml:space="preserve"> </w:t>
      </w:r>
      <w:r>
        <w:t>mean</w:t>
      </w:r>
      <w:r w:rsidR="00E81AB9" w:rsidRPr="00E81AB9">
        <w:rPr>
          <w:szCs w:val="28"/>
        </w:rPr>
        <w:t xml:space="preserve"> </w:t>
      </w:r>
      <w:r w:rsidR="00E81AB9" w:rsidRPr="001B22D8">
        <w:rPr>
          <w:szCs w:val="28"/>
        </w:rPr>
        <w:t xml:space="preserve">diabetes in adolescents and young </w:t>
      </w:r>
      <w:proofErr w:type="gramStart"/>
      <w:r w:rsidR="00E81AB9" w:rsidRPr="001B22D8">
        <w:rPr>
          <w:szCs w:val="28"/>
        </w:rPr>
        <w:t>adults</w:t>
      </w:r>
      <w:proofErr w:type="gramEnd"/>
      <w:r>
        <w:rPr>
          <w:spacing w:val="9"/>
        </w:rPr>
        <w:t xml:space="preserve"> </w:t>
      </w:r>
      <w:r>
        <w:rPr>
          <w:spacing w:val="-1"/>
        </w:rPr>
        <w:t>deaths,</w:t>
      </w:r>
      <w:r>
        <w:t xml:space="preserve"> </w:t>
      </w:r>
      <w:r>
        <w:rPr>
          <w:spacing w:val="-1"/>
        </w:rPr>
        <w:t>and</w:t>
      </w:r>
      <w:r>
        <w:rPr>
          <w:spacing w:val="27"/>
          <w:w w:val="101"/>
        </w:rPr>
        <w:t xml:space="preserve"> </w:t>
      </w:r>
      <w:r>
        <w:rPr>
          <w:spacing w:val="-1"/>
        </w:rPr>
        <w:t>DALYs</w:t>
      </w:r>
      <w:r>
        <w:rPr>
          <w:spacing w:val="32"/>
        </w:rPr>
        <w:t xml:space="preserve"> </w:t>
      </w:r>
      <w:r>
        <w:rPr>
          <w:spacing w:val="-1"/>
        </w:rPr>
        <w:t>at</w:t>
      </w:r>
      <w:r>
        <w:rPr>
          <w:spacing w:val="32"/>
        </w:rPr>
        <w:t xml:space="preserve"> </w:t>
      </w:r>
      <w:r>
        <w:rPr>
          <w:spacing w:val="-1"/>
        </w:rPr>
        <w:t>each</w:t>
      </w:r>
      <w:r>
        <w:rPr>
          <w:spacing w:val="38"/>
          <w:w w:val="101"/>
        </w:rPr>
        <w:t xml:space="preserve"> </w:t>
      </w:r>
      <w:r>
        <w:rPr>
          <w:spacing w:val="-1"/>
        </w:rPr>
        <w:t>SDI</w:t>
      </w:r>
      <w:r>
        <w:rPr>
          <w:spacing w:val="25"/>
          <w:w w:val="101"/>
        </w:rPr>
        <w:t xml:space="preserve"> </w:t>
      </w:r>
      <w:r>
        <w:rPr>
          <w:spacing w:val="-1"/>
        </w:rPr>
        <w:t>va</w:t>
      </w:r>
      <w:r>
        <w:rPr>
          <w:spacing w:val="-2"/>
        </w:rPr>
        <w:t>lue</w:t>
      </w:r>
      <w:r>
        <w:rPr>
          <w:spacing w:val="32"/>
        </w:rPr>
        <w:t xml:space="preserve"> </w:t>
      </w:r>
      <w:r>
        <w:rPr>
          <w:spacing w:val="-2"/>
        </w:rPr>
        <w:t>from</w:t>
      </w:r>
      <w:r>
        <w:rPr>
          <w:spacing w:val="26"/>
        </w:rPr>
        <w:t xml:space="preserve"> </w:t>
      </w:r>
      <w:r>
        <w:rPr>
          <w:spacing w:val="-2"/>
        </w:rPr>
        <w:t>the</w:t>
      </w:r>
      <w:r>
        <w:rPr>
          <w:spacing w:val="23"/>
        </w:rPr>
        <w:t xml:space="preserve"> </w:t>
      </w:r>
      <w:r>
        <w:rPr>
          <w:spacing w:val="-2"/>
        </w:rPr>
        <w:t>bootstrapped</w:t>
      </w:r>
      <w:r>
        <w:rPr>
          <w:spacing w:val="34"/>
          <w:w w:val="101"/>
        </w:rPr>
        <w:t xml:space="preserve"> </w:t>
      </w:r>
      <w:r>
        <w:rPr>
          <w:spacing w:val="-2"/>
        </w:rPr>
        <w:t>samples.</w:t>
      </w:r>
      <w:r>
        <w:rPr>
          <w:spacing w:val="26"/>
        </w:rPr>
        <w:t xml:space="preserve"> </w:t>
      </w:r>
      <w:r>
        <w:rPr>
          <w:spacing w:val="-2"/>
        </w:rPr>
        <w:t>We</w:t>
      </w:r>
      <w:r>
        <w:rPr>
          <w:spacing w:val="24"/>
        </w:rPr>
        <w:t xml:space="preserve"> </w:t>
      </w:r>
      <w:r>
        <w:rPr>
          <w:spacing w:val="-2"/>
        </w:rPr>
        <w:t>utilized</w:t>
      </w:r>
      <w:r>
        <w:rPr>
          <w:spacing w:val="27"/>
        </w:rPr>
        <w:t xml:space="preserve"> </w:t>
      </w:r>
      <w:r>
        <w:rPr>
          <w:spacing w:val="-2"/>
        </w:rPr>
        <w:t>LOESS</w:t>
      </w:r>
      <w:r>
        <w:t xml:space="preserve"> regression with a local polynomial degree</w:t>
      </w:r>
      <w:r>
        <w:rPr>
          <w:spacing w:val="13"/>
        </w:rPr>
        <w:t xml:space="preserve"> </w:t>
      </w:r>
      <w:r>
        <w:t>of</w:t>
      </w:r>
      <w:r>
        <w:rPr>
          <w:spacing w:val="8"/>
        </w:rPr>
        <w:t xml:space="preserve"> </w:t>
      </w:r>
      <w:r>
        <w:t>1</w:t>
      </w:r>
      <w:r>
        <w:rPr>
          <w:spacing w:val="14"/>
        </w:rPr>
        <w:t xml:space="preserve"> </w:t>
      </w:r>
      <w:r>
        <w:t>and</w:t>
      </w:r>
      <w:r>
        <w:rPr>
          <w:spacing w:val="16"/>
        </w:rPr>
        <w:t xml:space="preserve"> </w:t>
      </w:r>
      <w:r>
        <w:t>span</w:t>
      </w:r>
      <w:r>
        <w:rPr>
          <w:spacing w:val="12"/>
        </w:rPr>
        <w:t xml:space="preserve"> </w:t>
      </w:r>
      <w:r>
        <w:rPr>
          <w:spacing w:val="-1"/>
        </w:rPr>
        <w:t>of</w:t>
      </w:r>
      <w:r>
        <w:rPr>
          <w:spacing w:val="-11"/>
        </w:rPr>
        <w:t xml:space="preserve"> </w:t>
      </w:r>
      <w:r>
        <w:rPr>
          <w:spacing w:val="-1"/>
        </w:rPr>
        <w:t>0.2 to</w:t>
      </w:r>
      <w:r>
        <w:rPr>
          <w:spacing w:val="14"/>
        </w:rPr>
        <w:t xml:space="preserve"> </w:t>
      </w:r>
      <w:r>
        <w:rPr>
          <w:spacing w:val="-1"/>
        </w:rPr>
        <w:t>establish</w:t>
      </w:r>
      <w:r>
        <w:rPr>
          <w:spacing w:val="13"/>
        </w:rPr>
        <w:t xml:space="preserve"> </w:t>
      </w:r>
      <w:r>
        <w:rPr>
          <w:spacing w:val="-1"/>
        </w:rPr>
        <w:t>a</w:t>
      </w:r>
      <w:r>
        <w:rPr>
          <w:spacing w:val="16"/>
          <w:w w:val="101"/>
        </w:rPr>
        <w:t xml:space="preserve"> </w:t>
      </w:r>
      <w:r>
        <w:rPr>
          <w:spacing w:val="-1"/>
        </w:rPr>
        <w:t>smoothed</w:t>
      </w:r>
      <w:r>
        <w:t xml:space="preserve"> frontier.</w:t>
      </w:r>
      <w:r>
        <w:rPr>
          <w:spacing w:val="25"/>
          <w:w w:val="101"/>
        </w:rPr>
        <w:t xml:space="preserve">  </w:t>
      </w:r>
      <w:proofErr w:type="gramStart"/>
      <w:r>
        <w:t>To</w:t>
      </w:r>
      <w:r>
        <w:rPr>
          <w:spacing w:val="23"/>
        </w:rPr>
        <w:t xml:space="preserve">  </w:t>
      </w:r>
      <w:r>
        <w:t>mitigate</w:t>
      </w:r>
      <w:proofErr w:type="gramEnd"/>
      <w:r>
        <w:rPr>
          <w:spacing w:val="21"/>
          <w:w w:val="101"/>
        </w:rPr>
        <w:t xml:space="preserve">  </w:t>
      </w:r>
      <w:r>
        <w:t>the</w:t>
      </w:r>
      <w:r>
        <w:rPr>
          <w:spacing w:val="25"/>
          <w:w w:val="101"/>
        </w:rPr>
        <w:t xml:space="preserve">  </w:t>
      </w:r>
      <w:r>
        <w:t>influence</w:t>
      </w:r>
      <w:r>
        <w:rPr>
          <w:spacing w:val="26"/>
        </w:rPr>
        <w:t xml:space="preserve">  </w:t>
      </w:r>
      <w:r>
        <w:t xml:space="preserve">of </w:t>
      </w:r>
      <w:r>
        <w:rPr>
          <w:spacing w:val="-1"/>
        </w:rPr>
        <w:t xml:space="preserve"> outliers,   super-efficient   countries   were</w:t>
      </w:r>
      <w:r>
        <w:t xml:space="preserve"> excluded</w:t>
      </w:r>
      <w:r>
        <w:rPr>
          <w:spacing w:val="19"/>
        </w:rPr>
        <w:t xml:space="preserve">   </w:t>
      </w:r>
      <w:r>
        <w:t>in</w:t>
      </w:r>
      <w:r>
        <w:rPr>
          <w:spacing w:val="19"/>
          <w:w w:val="101"/>
        </w:rPr>
        <w:t xml:space="preserve">   </w:t>
      </w:r>
      <w:r>
        <w:t>the    frontier    generati</w:t>
      </w:r>
      <w:r>
        <w:rPr>
          <w:spacing w:val="-1"/>
        </w:rPr>
        <w:t xml:space="preserve">on.    To    comprehend    the    relationship    </w:t>
      </w:r>
      <w:proofErr w:type="gramStart"/>
      <w:r>
        <w:rPr>
          <w:spacing w:val="-1"/>
        </w:rPr>
        <w:t>of</w:t>
      </w:r>
      <w:r>
        <w:t xml:space="preserve">  </w:t>
      </w:r>
      <w:r>
        <w:rPr>
          <w:spacing w:val="-1"/>
        </w:rPr>
        <w:t>age</w:t>
      </w:r>
      <w:proofErr w:type="gramEnd"/>
      <w:r>
        <w:rPr>
          <w:spacing w:val="-1"/>
        </w:rPr>
        <w:t>-standardized</w:t>
      </w:r>
      <w:r>
        <w:rPr>
          <w:spacing w:val="36"/>
        </w:rPr>
        <w:t xml:space="preserve"> </w:t>
      </w:r>
      <w:r w:rsidR="00E81AB9" w:rsidRPr="001B22D8">
        <w:rPr>
          <w:szCs w:val="28"/>
        </w:rPr>
        <w:t>diabetes in adolescents and young adults</w:t>
      </w:r>
      <w:r>
        <w:rPr>
          <w:spacing w:val="35"/>
          <w:w w:val="101"/>
        </w:rPr>
        <w:t xml:space="preserve"> </w:t>
      </w:r>
      <w:r>
        <w:rPr>
          <w:spacing w:val="-1"/>
        </w:rPr>
        <w:t>deaths,</w:t>
      </w:r>
      <w:r>
        <w:rPr>
          <w:spacing w:val="39"/>
          <w:w w:val="101"/>
        </w:rPr>
        <w:t xml:space="preserve"> </w:t>
      </w:r>
      <w:r>
        <w:rPr>
          <w:spacing w:val="-1"/>
        </w:rPr>
        <w:t>and</w:t>
      </w:r>
      <w:r>
        <w:rPr>
          <w:spacing w:val="31"/>
        </w:rPr>
        <w:t xml:space="preserve"> </w:t>
      </w:r>
      <w:r>
        <w:rPr>
          <w:spacing w:val="-1"/>
        </w:rPr>
        <w:t>DALYs</w:t>
      </w:r>
      <w:r>
        <w:rPr>
          <w:spacing w:val="30"/>
        </w:rPr>
        <w:t xml:space="preserve"> </w:t>
      </w:r>
      <w:r>
        <w:rPr>
          <w:spacing w:val="-1"/>
        </w:rPr>
        <w:t>rates</w:t>
      </w:r>
      <w:r>
        <w:rPr>
          <w:spacing w:val="29"/>
        </w:rPr>
        <w:t xml:space="preserve"> </w:t>
      </w:r>
      <w:r>
        <w:rPr>
          <w:spacing w:val="-1"/>
        </w:rPr>
        <w:t>with</w:t>
      </w:r>
      <w:r>
        <w:rPr>
          <w:spacing w:val="31"/>
          <w:w w:val="101"/>
        </w:rPr>
        <w:t xml:space="preserve"> </w:t>
      </w:r>
      <w:r>
        <w:rPr>
          <w:spacing w:val="-1"/>
        </w:rPr>
        <w:t>the</w:t>
      </w:r>
      <w:r>
        <w:rPr>
          <w:spacing w:val="35"/>
        </w:rPr>
        <w:t xml:space="preserve"> </w:t>
      </w:r>
      <w:r>
        <w:rPr>
          <w:spacing w:val="-1"/>
        </w:rPr>
        <w:t>20</w:t>
      </w:r>
      <w:r w:rsidR="00E81AB9">
        <w:rPr>
          <w:spacing w:val="-1"/>
        </w:rPr>
        <w:t>21</w:t>
      </w:r>
      <w:r>
        <w:rPr>
          <w:spacing w:val="40"/>
        </w:rPr>
        <w:t xml:space="preserve"> </w:t>
      </w:r>
      <w:r>
        <w:rPr>
          <w:spacing w:val="-1"/>
        </w:rPr>
        <w:t>frontier,</w:t>
      </w:r>
    </w:p>
    <w:p w14:paraId="201F8FFD" w14:textId="77777777" w:rsidR="00722FD9" w:rsidRDefault="00722FD9">
      <w:pPr>
        <w:spacing w:line="536" w:lineRule="auto"/>
        <w:sectPr w:rsidR="00722FD9">
          <w:pgSz w:w="11907" w:h="16839"/>
          <w:pgMar w:top="1431" w:right="1742" w:bottom="0" w:left="1785" w:header="0" w:footer="0" w:gutter="0"/>
          <w:cols w:space="720"/>
        </w:sectPr>
      </w:pPr>
    </w:p>
    <w:p w14:paraId="75E3A6DD" w14:textId="5C836954" w:rsidR="00722FD9" w:rsidRDefault="00000000">
      <w:pPr>
        <w:pStyle w:val="a3"/>
        <w:spacing w:before="237" w:line="527" w:lineRule="auto"/>
        <w:ind w:left="18" w:right="18" w:hanging="3"/>
        <w:jc w:val="both"/>
        <w:rPr>
          <w:spacing w:val="-1"/>
        </w:rPr>
      </w:pPr>
      <w:r>
        <w:rPr>
          <w:spacing w:val="-1"/>
        </w:rPr>
        <w:lastRenderedPageBreak/>
        <w:t>we</w:t>
      </w:r>
      <w:r>
        <w:rPr>
          <w:spacing w:val="31"/>
        </w:rPr>
        <w:t xml:space="preserve"> </w:t>
      </w:r>
      <w:r>
        <w:rPr>
          <w:spacing w:val="-1"/>
        </w:rPr>
        <w:t>calculated</w:t>
      </w:r>
      <w:r>
        <w:rPr>
          <w:spacing w:val="25"/>
        </w:rPr>
        <w:t xml:space="preserve"> </w:t>
      </w:r>
      <w:r>
        <w:rPr>
          <w:spacing w:val="-1"/>
        </w:rPr>
        <w:t>the</w:t>
      </w:r>
      <w:r>
        <w:rPr>
          <w:spacing w:val="33"/>
        </w:rPr>
        <w:t xml:space="preserve"> </w:t>
      </w:r>
      <w:r>
        <w:rPr>
          <w:spacing w:val="-1"/>
        </w:rPr>
        <w:t>effective</w:t>
      </w:r>
      <w:r>
        <w:rPr>
          <w:spacing w:val="31"/>
        </w:rPr>
        <w:t xml:space="preserve"> </w:t>
      </w:r>
      <w:r>
        <w:rPr>
          <w:spacing w:val="-1"/>
        </w:rPr>
        <w:t>difference</w:t>
      </w:r>
      <w:r>
        <w:rPr>
          <w:spacing w:val="32"/>
          <w:w w:val="101"/>
        </w:rPr>
        <w:t xml:space="preserve"> </w:t>
      </w:r>
      <w:r>
        <w:rPr>
          <w:spacing w:val="-1"/>
        </w:rPr>
        <w:t>(the</w:t>
      </w:r>
      <w:r>
        <w:rPr>
          <w:spacing w:val="31"/>
        </w:rPr>
        <w:t xml:space="preserve"> </w:t>
      </w:r>
      <w:r>
        <w:rPr>
          <w:spacing w:val="-1"/>
        </w:rPr>
        <w:t>absolute</w:t>
      </w:r>
      <w:r>
        <w:rPr>
          <w:spacing w:val="31"/>
        </w:rPr>
        <w:t xml:space="preserve"> </w:t>
      </w:r>
      <w:r>
        <w:rPr>
          <w:spacing w:val="-1"/>
        </w:rPr>
        <w:t>distance</w:t>
      </w:r>
      <w:r>
        <w:rPr>
          <w:spacing w:val="32"/>
          <w:w w:val="101"/>
        </w:rPr>
        <w:t xml:space="preserve"> </w:t>
      </w:r>
      <w:r>
        <w:rPr>
          <w:spacing w:val="-1"/>
        </w:rPr>
        <w:t>from</w:t>
      </w:r>
      <w:r>
        <w:rPr>
          <w:spacing w:val="26"/>
          <w:w w:val="101"/>
        </w:rPr>
        <w:t xml:space="preserve"> </w:t>
      </w:r>
      <w:r>
        <w:rPr>
          <w:spacing w:val="-1"/>
        </w:rPr>
        <w:t>the</w:t>
      </w:r>
      <w:r>
        <w:rPr>
          <w:spacing w:val="32"/>
          <w:w w:val="101"/>
        </w:rPr>
        <w:t xml:space="preserve"> </w:t>
      </w:r>
      <w:r>
        <w:rPr>
          <w:spacing w:val="-1"/>
        </w:rPr>
        <w:t>fro</w:t>
      </w:r>
      <w:r>
        <w:rPr>
          <w:spacing w:val="-2"/>
        </w:rPr>
        <w:t>ntier)</w:t>
      </w:r>
      <w:r>
        <w:rPr>
          <w:spacing w:val="22"/>
          <w:w w:val="101"/>
        </w:rPr>
        <w:t xml:space="preserve"> </w:t>
      </w:r>
      <w:r>
        <w:rPr>
          <w:spacing w:val="-2"/>
        </w:rPr>
        <w:t>using</w:t>
      </w:r>
      <w:r>
        <w:t xml:space="preserve"> </w:t>
      </w:r>
      <w:r>
        <w:rPr>
          <w:spacing w:val="-1"/>
        </w:rPr>
        <w:t>20</w:t>
      </w:r>
      <w:r w:rsidR="00E81AB9">
        <w:rPr>
          <w:spacing w:val="-1"/>
        </w:rPr>
        <w:t>21</w:t>
      </w:r>
      <w:r>
        <w:rPr>
          <w:spacing w:val="31"/>
          <w:w w:val="101"/>
        </w:rPr>
        <w:t xml:space="preserve"> </w:t>
      </w:r>
      <w:r>
        <w:rPr>
          <w:spacing w:val="-1"/>
        </w:rPr>
        <w:t>SDI</w:t>
      </w:r>
      <w:r>
        <w:rPr>
          <w:spacing w:val="24"/>
        </w:rPr>
        <w:t xml:space="preserve"> </w:t>
      </w:r>
      <w:r>
        <w:rPr>
          <w:spacing w:val="-1"/>
        </w:rPr>
        <w:t>and</w:t>
      </w:r>
      <w:r>
        <w:rPr>
          <w:spacing w:val="27"/>
        </w:rPr>
        <w:t xml:space="preserve"> </w:t>
      </w:r>
      <w:r>
        <w:rPr>
          <w:spacing w:val="-1"/>
        </w:rPr>
        <w:t>age-standardized</w:t>
      </w:r>
      <w:r>
        <w:rPr>
          <w:spacing w:val="22"/>
          <w:w w:val="101"/>
        </w:rPr>
        <w:t xml:space="preserve"> </w:t>
      </w:r>
      <w:r w:rsidR="00E81AB9" w:rsidRPr="001B22D8">
        <w:rPr>
          <w:szCs w:val="28"/>
        </w:rPr>
        <w:t xml:space="preserve">diabetes in adolescents and young </w:t>
      </w:r>
      <w:proofErr w:type="gramStart"/>
      <w:r w:rsidR="00E81AB9" w:rsidRPr="001B22D8">
        <w:rPr>
          <w:szCs w:val="28"/>
        </w:rPr>
        <w:t>adults</w:t>
      </w:r>
      <w:proofErr w:type="gramEnd"/>
      <w:r>
        <w:rPr>
          <w:spacing w:val="24"/>
          <w:w w:val="101"/>
        </w:rPr>
        <w:t xml:space="preserve"> </w:t>
      </w:r>
      <w:r>
        <w:rPr>
          <w:spacing w:val="-1"/>
        </w:rPr>
        <w:t>de</w:t>
      </w:r>
      <w:r>
        <w:rPr>
          <w:spacing w:val="-2"/>
        </w:rPr>
        <w:t>aths,</w:t>
      </w:r>
      <w:r>
        <w:rPr>
          <w:spacing w:val="26"/>
        </w:rPr>
        <w:t xml:space="preserve"> </w:t>
      </w:r>
      <w:r>
        <w:rPr>
          <w:spacing w:val="-2"/>
        </w:rPr>
        <w:t>and</w:t>
      </w:r>
      <w:r>
        <w:rPr>
          <w:spacing w:val="22"/>
        </w:rPr>
        <w:t xml:space="preserve"> </w:t>
      </w:r>
      <w:r>
        <w:rPr>
          <w:spacing w:val="-2"/>
        </w:rPr>
        <w:t>DALYs</w:t>
      </w:r>
      <w:r>
        <w:rPr>
          <w:spacing w:val="18"/>
        </w:rPr>
        <w:t xml:space="preserve"> </w:t>
      </w:r>
      <w:r>
        <w:rPr>
          <w:spacing w:val="-2"/>
        </w:rPr>
        <w:t>rate</w:t>
      </w:r>
      <w:r>
        <w:rPr>
          <w:spacing w:val="23"/>
          <w:w w:val="101"/>
        </w:rPr>
        <w:t xml:space="preserve"> </w:t>
      </w:r>
      <w:r>
        <w:rPr>
          <w:spacing w:val="-2"/>
        </w:rPr>
        <w:t>data</w:t>
      </w:r>
      <w:r>
        <w:rPr>
          <w:spacing w:val="17"/>
          <w:w w:val="101"/>
        </w:rPr>
        <w:t xml:space="preserve"> </w:t>
      </w:r>
      <w:r>
        <w:rPr>
          <w:spacing w:val="-2"/>
        </w:rPr>
        <w:t>point</w:t>
      </w:r>
      <w:r>
        <w:t xml:space="preserve"> </w:t>
      </w:r>
      <w:r>
        <w:rPr>
          <w:spacing w:val="-1"/>
        </w:rPr>
        <w:t>for</w:t>
      </w:r>
      <w:r>
        <w:rPr>
          <w:spacing w:val="37"/>
          <w:w w:val="101"/>
        </w:rPr>
        <w:t xml:space="preserve"> </w:t>
      </w:r>
      <w:r>
        <w:rPr>
          <w:spacing w:val="-1"/>
        </w:rPr>
        <w:t>each</w:t>
      </w:r>
      <w:r>
        <w:rPr>
          <w:spacing w:val="41"/>
        </w:rPr>
        <w:t xml:space="preserve"> </w:t>
      </w:r>
      <w:r>
        <w:rPr>
          <w:spacing w:val="-1"/>
        </w:rPr>
        <w:t>country</w:t>
      </w:r>
      <w:r>
        <w:rPr>
          <w:spacing w:val="39"/>
        </w:rPr>
        <w:t xml:space="preserve"> </w:t>
      </w:r>
      <w:r>
        <w:rPr>
          <w:spacing w:val="-1"/>
        </w:rPr>
        <w:t>or</w:t>
      </w:r>
      <w:r>
        <w:rPr>
          <w:spacing w:val="33"/>
          <w:w w:val="101"/>
        </w:rPr>
        <w:t xml:space="preserve"> </w:t>
      </w:r>
      <w:r>
        <w:rPr>
          <w:spacing w:val="-1"/>
        </w:rPr>
        <w:t>territory.</w:t>
      </w:r>
      <w:r>
        <w:rPr>
          <w:spacing w:val="39"/>
          <w:w w:val="101"/>
        </w:rPr>
        <w:t xml:space="preserve"> </w:t>
      </w:r>
      <w:r>
        <w:rPr>
          <w:spacing w:val="-1"/>
        </w:rPr>
        <w:t>Countries</w:t>
      </w:r>
      <w:r>
        <w:rPr>
          <w:spacing w:val="39"/>
        </w:rPr>
        <w:t xml:space="preserve"> </w:t>
      </w:r>
      <w:r>
        <w:rPr>
          <w:spacing w:val="-1"/>
        </w:rPr>
        <w:t>or</w:t>
      </w:r>
      <w:r>
        <w:rPr>
          <w:spacing w:val="31"/>
          <w:w w:val="101"/>
        </w:rPr>
        <w:t xml:space="preserve"> </w:t>
      </w:r>
      <w:r>
        <w:rPr>
          <w:spacing w:val="-1"/>
        </w:rPr>
        <w:t>territories</w:t>
      </w:r>
      <w:r>
        <w:rPr>
          <w:spacing w:val="32"/>
          <w:w w:val="101"/>
        </w:rPr>
        <w:t xml:space="preserve"> </w:t>
      </w:r>
      <w:r>
        <w:rPr>
          <w:spacing w:val="-1"/>
        </w:rPr>
        <w:t>with</w:t>
      </w:r>
      <w:r>
        <w:rPr>
          <w:spacing w:val="38"/>
          <w:w w:val="101"/>
        </w:rPr>
        <w:t xml:space="preserve"> </w:t>
      </w:r>
      <w:r>
        <w:rPr>
          <w:spacing w:val="-1"/>
        </w:rPr>
        <w:t>lower</w:t>
      </w:r>
      <w:r w:rsidR="00E81AB9">
        <w:rPr>
          <w:spacing w:val="28"/>
        </w:rPr>
        <w:t xml:space="preserve"> </w:t>
      </w:r>
      <w:r>
        <w:rPr>
          <w:spacing w:val="-1"/>
        </w:rPr>
        <w:t>deat</w:t>
      </w:r>
      <w:r>
        <w:rPr>
          <w:spacing w:val="-2"/>
        </w:rPr>
        <w:t>hs,</w:t>
      </w:r>
      <w:r>
        <w:t xml:space="preserve"> and DALYs than the </w:t>
      </w:r>
      <w:r>
        <w:rPr>
          <w:spacing w:val="-1"/>
        </w:rPr>
        <w:t>frontiers were given a zero-distance</w:t>
      </w:r>
      <w:r>
        <w:rPr>
          <w:spacing w:val="11"/>
        </w:rPr>
        <w:t xml:space="preserve"> </w:t>
      </w:r>
      <w:r>
        <w:rPr>
          <w:spacing w:val="-1"/>
        </w:rPr>
        <w:t>score.</w:t>
      </w:r>
    </w:p>
    <w:p w14:paraId="14F6C764" w14:textId="52B48940" w:rsidR="00E81AB9" w:rsidRPr="00E81AB9" w:rsidRDefault="00AD3F5E">
      <w:pPr>
        <w:pStyle w:val="a3"/>
        <w:spacing w:before="237" w:line="527" w:lineRule="auto"/>
        <w:ind w:left="18" w:right="18" w:hanging="3"/>
        <w:jc w:val="both"/>
        <w:rPr>
          <w:b/>
          <w:bCs/>
          <w:spacing w:val="-1"/>
        </w:rPr>
      </w:pPr>
      <w:r>
        <w:rPr>
          <w:rFonts w:eastAsiaTheme="minorEastAsia" w:hint="eastAsia"/>
          <w:b/>
          <w:bCs/>
          <w:spacing w:val="-1"/>
          <w:lang w:eastAsia="zh-CN"/>
        </w:rPr>
        <w:t xml:space="preserve">3. </w:t>
      </w:r>
      <w:r w:rsidR="00E81AB9" w:rsidRPr="00E81AB9">
        <w:rPr>
          <w:b/>
          <w:bCs/>
          <w:spacing w:val="-1"/>
        </w:rPr>
        <w:t>Cross-country inequality analysis</w:t>
      </w:r>
    </w:p>
    <w:p w14:paraId="32B0222D" w14:textId="770B2841" w:rsidR="00E81AB9" w:rsidRDefault="00E81AB9" w:rsidP="00CE768A">
      <w:pPr>
        <w:pStyle w:val="a3"/>
        <w:spacing w:before="237" w:line="527" w:lineRule="auto"/>
        <w:ind w:left="18" w:right="18" w:firstLineChars="200" w:firstLine="480"/>
        <w:jc w:val="both"/>
      </w:pPr>
      <w:r w:rsidRPr="00E81AB9">
        <w:t xml:space="preserve">Two distinct metrics of absolute and relative inequalities were utilized to gauge cross-country inequality in the burden: the Slope index of inequality (SII) and the relative concentration index. Absolute inequality reflects the magnitude of the difference in health between countries with different SDIs. The SII represents the absolute difference in predicted values of burden between those with the highest level of SDI and those with the lowest level of SDI, while taking into consideration the entire distribution of SDI using an appropriate regression model. It was computed by regressing national-level burdens owing to </w:t>
      </w:r>
      <w:r w:rsidRPr="001B22D8">
        <w:rPr>
          <w:szCs w:val="28"/>
        </w:rPr>
        <w:t>diabetes in adolescents and young adults</w:t>
      </w:r>
      <w:r w:rsidRPr="00E81AB9">
        <w:t xml:space="preserve"> on a scale of relative social position, defined by the midpoint of the cumulative class interval of the population ranked by SDI. Because of heteroskedasticity, robust regression was used: repeated iterative weighting. SII assumes the value of zero. Greater absolute values indicate higher levels of inequality. Positive values indicate a concentration of the indicator among the advantaged and negative values indicate a concentration of the indicator among the disadvantaged. Therefore, when the SII is positive, the burden is concentrated in countries with higher SDI; When the SII is negative, the burden is concentrated in countries with lower SDI. Relative inequality measures show proportional differences in health among countries with different SDIs. The concentration index is a relative measure of inequality that shows the health gradient across multiple subgroups with natural ordering (according to SDI). It </w:t>
      </w:r>
      <w:r w:rsidRPr="00E81AB9">
        <w:lastRenderedPageBreak/>
        <w:t xml:space="preserve">indicates the extent to which burden is concentrated among the disadvantaged (population with low SDI) or the advantaged (population with high SDI). It was derived through numerical integration beneath the Lorenz concentration curve, which was fitted using the </w:t>
      </w:r>
      <w:r>
        <w:t xml:space="preserve">death and </w:t>
      </w:r>
      <w:r w:rsidRPr="00E81AB9">
        <w:t xml:space="preserve">DALYs cumulative percentage against the relative cumulative distribution of the population sorted by SDI. Given that a population is ranked by increasing socioeconomic status. When a Lorenz curve above the line of equality, it indicates health burdens concentrated in lower-income countries, represented by a negative value of the concentration index. When there is no inequality, the concentration index is </w:t>
      </w:r>
      <w:r>
        <w:t>0</w:t>
      </w:r>
      <w:r w:rsidRPr="00E81AB9">
        <w:t>.</w:t>
      </w:r>
    </w:p>
    <w:sectPr w:rsidR="00E81AB9">
      <w:pgSz w:w="11907" w:h="16839"/>
      <w:pgMar w:top="1431" w:right="1785" w:bottom="0" w:left="178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A57F4" w14:textId="77777777" w:rsidR="00955844" w:rsidRDefault="00955844">
      <w:r>
        <w:separator/>
      </w:r>
    </w:p>
  </w:endnote>
  <w:endnote w:type="continuationSeparator" w:id="0">
    <w:p w14:paraId="3CBC57B6" w14:textId="77777777" w:rsidR="00955844" w:rsidRDefault="0095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1DF23B" w14:textId="77777777" w:rsidR="00955844" w:rsidRDefault="00955844">
      <w:r>
        <w:separator/>
      </w:r>
    </w:p>
  </w:footnote>
  <w:footnote w:type="continuationSeparator" w:id="0">
    <w:p w14:paraId="154E5CDE" w14:textId="77777777" w:rsidR="00955844" w:rsidRDefault="00955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7846C0"/>
    <w:multiLevelType w:val="hybridMultilevel"/>
    <w:tmpl w:val="11986CA6"/>
    <w:lvl w:ilvl="0" w:tplc="B5C000C6">
      <w:start w:val="1"/>
      <w:numFmt w:val="decimal"/>
      <w:lvlText w:val="%1."/>
      <w:lvlJc w:val="left"/>
      <w:pPr>
        <w:ind w:left="377" w:hanging="360"/>
      </w:pPr>
      <w:rPr>
        <w:rFonts w:hint="default"/>
        <w:b/>
      </w:rPr>
    </w:lvl>
    <w:lvl w:ilvl="1" w:tplc="04090019" w:tentative="1">
      <w:start w:val="1"/>
      <w:numFmt w:val="lowerLetter"/>
      <w:lvlText w:val="%2)"/>
      <w:lvlJc w:val="left"/>
      <w:pPr>
        <w:ind w:left="897" w:hanging="440"/>
      </w:pPr>
    </w:lvl>
    <w:lvl w:ilvl="2" w:tplc="0409001B" w:tentative="1">
      <w:start w:val="1"/>
      <w:numFmt w:val="lowerRoman"/>
      <w:lvlText w:val="%3."/>
      <w:lvlJc w:val="right"/>
      <w:pPr>
        <w:ind w:left="1337" w:hanging="440"/>
      </w:pPr>
    </w:lvl>
    <w:lvl w:ilvl="3" w:tplc="0409000F" w:tentative="1">
      <w:start w:val="1"/>
      <w:numFmt w:val="decimal"/>
      <w:lvlText w:val="%4."/>
      <w:lvlJc w:val="left"/>
      <w:pPr>
        <w:ind w:left="1777" w:hanging="440"/>
      </w:pPr>
    </w:lvl>
    <w:lvl w:ilvl="4" w:tplc="04090019" w:tentative="1">
      <w:start w:val="1"/>
      <w:numFmt w:val="lowerLetter"/>
      <w:lvlText w:val="%5)"/>
      <w:lvlJc w:val="left"/>
      <w:pPr>
        <w:ind w:left="2217" w:hanging="440"/>
      </w:pPr>
    </w:lvl>
    <w:lvl w:ilvl="5" w:tplc="0409001B" w:tentative="1">
      <w:start w:val="1"/>
      <w:numFmt w:val="lowerRoman"/>
      <w:lvlText w:val="%6."/>
      <w:lvlJc w:val="right"/>
      <w:pPr>
        <w:ind w:left="2657" w:hanging="440"/>
      </w:pPr>
    </w:lvl>
    <w:lvl w:ilvl="6" w:tplc="0409000F" w:tentative="1">
      <w:start w:val="1"/>
      <w:numFmt w:val="decimal"/>
      <w:lvlText w:val="%7."/>
      <w:lvlJc w:val="left"/>
      <w:pPr>
        <w:ind w:left="3097" w:hanging="440"/>
      </w:pPr>
    </w:lvl>
    <w:lvl w:ilvl="7" w:tplc="04090019" w:tentative="1">
      <w:start w:val="1"/>
      <w:numFmt w:val="lowerLetter"/>
      <w:lvlText w:val="%8)"/>
      <w:lvlJc w:val="left"/>
      <w:pPr>
        <w:ind w:left="3537" w:hanging="440"/>
      </w:pPr>
    </w:lvl>
    <w:lvl w:ilvl="8" w:tplc="0409001B" w:tentative="1">
      <w:start w:val="1"/>
      <w:numFmt w:val="lowerRoman"/>
      <w:lvlText w:val="%9."/>
      <w:lvlJc w:val="right"/>
      <w:pPr>
        <w:ind w:left="3977" w:hanging="440"/>
      </w:pPr>
    </w:lvl>
  </w:abstractNum>
  <w:num w:numId="1" w16cid:durableId="192407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4"/>
    <w:compatSetting w:name="useWord2013TrackBottomHyphenation" w:uri="http://schemas.microsoft.com/office/word" w:val="1"/>
  </w:compat>
  <w:docVars>
    <w:docVar w:name="commondata" w:val="eyJoZGlkIjoiZDU3MmI4NjgwN2I2NGQwNDAzZmEyZGI5NmQwYTJkYmUifQ=="/>
  </w:docVars>
  <w:rsids>
    <w:rsidRoot w:val="00722FD9"/>
    <w:rsid w:val="0014543F"/>
    <w:rsid w:val="004304DB"/>
    <w:rsid w:val="00722FD9"/>
    <w:rsid w:val="00891CFA"/>
    <w:rsid w:val="00955844"/>
    <w:rsid w:val="00AD3F5E"/>
    <w:rsid w:val="00CE768A"/>
    <w:rsid w:val="00E81AB9"/>
    <w:rsid w:val="5AE81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87EF3"/>
  <w15:docId w15:val="{88F82A0A-ED58-4600-B4B8-0E9C768D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Times New Roman" w:eastAsia="Times New Roman" w:hAnsi="Times New Roman" w:cs="Times New Roman"/>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paragraph" w:styleId="a4">
    <w:name w:val="header"/>
    <w:basedOn w:val="a"/>
    <w:link w:val="a5"/>
    <w:rsid w:val="00E81AB9"/>
    <w:pPr>
      <w:tabs>
        <w:tab w:val="center" w:pos="4153"/>
        <w:tab w:val="right" w:pos="8306"/>
      </w:tabs>
      <w:jc w:val="center"/>
    </w:pPr>
    <w:rPr>
      <w:sz w:val="18"/>
      <w:szCs w:val="18"/>
    </w:rPr>
  </w:style>
  <w:style w:type="character" w:customStyle="1" w:styleId="a5">
    <w:name w:val="页眉 字符"/>
    <w:basedOn w:val="a0"/>
    <w:link w:val="a4"/>
    <w:rsid w:val="00E81AB9"/>
    <w:rPr>
      <w:rFonts w:eastAsia="Arial"/>
      <w:snapToGrid w:val="0"/>
      <w:color w:val="000000"/>
      <w:sz w:val="18"/>
      <w:szCs w:val="18"/>
      <w:lang w:eastAsia="en-US"/>
    </w:rPr>
  </w:style>
  <w:style w:type="paragraph" w:styleId="a6">
    <w:name w:val="footer"/>
    <w:basedOn w:val="a"/>
    <w:link w:val="a7"/>
    <w:rsid w:val="00E81AB9"/>
    <w:pPr>
      <w:tabs>
        <w:tab w:val="center" w:pos="4153"/>
        <w:tab w:val="right" w:pos="8306"/>
      </w:tabs>
    </w:pPr>
    <w:rPr>
      <w:sz w:val="18"/>
      <w:szCs w:val="18"/>
    </w:rPr>
  </w:style>
  <w:style w:type="character" w:customStyle="1" w:styleId="a7">
    <w:name w:val="页脚 字符"/>
    <w:basedOn w:val="a0"/>
    <w:link w:val="a6"/>
    <w:rsid w:val="00E81AB9"/>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1012</Words>
  <Characters>5771</Characters>
  <Application>Microsoft Office Word</Application>
  <DocSecurity>0</DocSecurity>
  <Lines>48</Lines>
  <Paragraphs>13</Paragraphs>
  <ScaleCrop>false</ScaleCrop>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舒婷婷</dc:creator>
  <cp:lastModifiedBy>犇 胡</cp:lastModifiedBy>
  <cp:revision>3</cp:revision>
  <dcterms:created xsi:type="dcterms:W3CDTF">2024-06-04T14:02:00Z</dcterms:created>
  <dcterms:modified xsi:type="dcterms:W3CDTF">2024-07-04T07:11:00Z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2024-06-04T14:03:10Z</vt:filetime>
  </property>
  <property fmtid="{D5CDD505-2E9C-101B-9397-08002B2CF9AE}" pid="4" name="KSOProductBuildVer">
    <vt:lpwstr>2052-12.1.0.16929</vt:lpwstr>
  </property>
  <property fmtid="{D5CDD505-2E9C-101B-9397-08002B2CF9AE}" pid="5" name="ICV">
    <vt:lpwstr>9A69D7BBDC634EB580D3658355FD2C8E_12</vt:lpwstr>
  </property>
  <property fmtid="{D5CDD505-2E9C-101B-9397-08002B2CF9AE}" pid="6" name="GrammarlyDocumentId">
    <vt:lpwstr>c93e83c82d4faeace3c0055b9c77a1fdb55082484ba90edc89b9fa5275fc0d8d</vt:lpwstr>
  </property>
</Properties>
</file>