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E2AAB">
      <w:pPr>
        <w:rPr>
          <w:rFonts w:hint="default" w:ascii="Arial" w:hAnsi="Arial" w:eastAsia="宋体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</w:rPr>
        <w:t xml:space="preserve">Supplemental table 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>1</w:t>
      </w:r>
      <w:r>
        <w:rPr>
          <w:rFonts w:hint="default" w:ascii="Arial" w:hAnsi="Arial" w:cs="Arial"/>
          <w:sz w:val="22"/>
          <w:szCs w:val="22"/>
        </w:rPr>
        <w:t xml:space="preserve">. Baseline characteristics stratified by 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>all-cause mortality</w:t>
      </w:r>
    </w:p>
    <w:p w14:paraId="7FEF7B3A">
      <w:pPr>
        <w:rPr>
          <w:rFonts w:hint="default" w:ascii="Arial" w:hAnsi="Arial" w:cs="Arial"/>
          <w:sz w:val="22"/>
          <w:szCs w:val="22"/>
        </w:rPr>
      </w:pPr>
      <w:r>
        <w:rPr>
          <w:rFonts w:hint="default" w:ascii="Arial" w:hAnsi="Arial" w:cs="Arial"/>
          <w:sz w:val="22"/>
          <w:szCs w:val="22"/>
        </w:rPr>
        <w:t>
</w:t>
      </w:r>
    </w:p>
    <w:tbl>
      <w:tblPr>
        <w:tblStyle w:val="8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2213"/>
        <w:gridCol w:w="2216"/>
        <w:gridCol w:w="2216"/>
      </w:tblGrid>
      <w:tr w14:paraId="1A25B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333" w:type="pct"/>
            <w:tcBorders>
              <w:top w:val="single" w:color="666666" w:sz="16" w:space="0"/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EFCCC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>Variables</w:t>
            </w:r>
          </w:p>
        </w:tc>
        <w:tc>
          <w:tcPr>
            <w:tcW w:w="1221" w:type="pct"/>
            <w:tcBorders>
              <w:top w:val="single" w:color="666666" w:sz="16" w:space="0"/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E1BC5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 xml:space="preserve">Survival </w:t>
            </w: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(n=927)</w:t>
            </w:r>
          </w:p>
        </w:tc>
        <w:tc>
          <w:tcPr>
            <w:tcW w:w="1222" w:type="pct"/>
            <w:tcBorders>
              <w:top w:val="single" w:color="666666" w:sz="16" w:space="0"/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FAB9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 xml:space="preserve">Death </w:t>
            </w: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(n=167)</w:t>
            </w:r>
          </w:p>
        </w:tc>
        <w:tc>
          <w:tcPr>
            <w:tcW w:w="1222" w:type="pct"/>
            <w:tcBorders>
              <w:top w:val="single" w:color="666666" w:sz="16" w:space="0"/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35650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i/>
                <w:iCs/>
                <w:color w:val="000000"/>
                <w:sz w:val="22"/>
                <w:szCs w:val="22"/>
                <w:lang w:val="en-US" w:eastAsia="zh-CN"/>
              </w:rPr>
              <w:t>P</w:t>
            </w: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 xml:space="preserve"> value</w:t>
            </w:r>
          </w:p>
        </w:tc>
      </w:tr>
      <w:tr w14:paraId="0F751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0876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>TyG index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242C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8.88 (8.51,9.34)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6D64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9.16 (8.8,9.76)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CA48C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 w14:paraId="5E08D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000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A45BF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Demographic data</w:t>
            </w:r>
          </w:p>
        </w:tc>
      </w:tr>
      <w:tr w14:paraId="492EF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395D8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Age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years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AB48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73 (66,80)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AFC7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77 (70,81)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F1C58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 w14:paraId="68613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D7199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5F1A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644 (69.47%)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F1408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107 (64.07%)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7FE86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0.166</w:t>
            </w:r>
          </w:p>
        </w:tc>
      </w:tr>
      <w:tr w14:paraId="2EDEF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FDE5E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BMI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kg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vertAlign w:val="superscript"/>
                <w:lang w:val="en-US" w:eastAsia="zh-CN"/>
              </w:rPr>
              <w:t>2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vertAlign w:val="baseline"/>
                <w:lang w:val="en-US" w:eastAsia="zh-CN"/>
              </w:rPr>
              <w:t>）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14B23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23.5 (21.26,25.39)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E7BE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22.89 (20.47,23.97)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66F6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0.001</w:t>
            </w:r>
          </w:p>
        </w:tc>
      </w:tr>
      <w:tr w14:paraId="3EDAA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0D61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>Heart rate (bpm)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04F83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77 (67,90)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C025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84 (70,104)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8D9FD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 w14:paraId="1432B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0705B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>SBP (mmHg)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4FD99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135 (117,154)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8FA4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125 (106.5,148)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FDC79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 w14:paraId="5CD5B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6A773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color w:val="000000"/>
                <w:sz w:val="22"/>
                <w:szCs w:val="22"/>
                <w:lang w:val="en-US" w:eastAsia="zh-CN"/>
              </w:rPr>
              <w:t>DBP (mmHg)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BB40D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74 (65,84)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5BE5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72 (60,82)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17E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0.016</w:t>
            </w:r>
          </w:p>
        </w:tc>
      </w:tr>
      <w:tr w14:paraId="24724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000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D7407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Cardiovascular</w:t>
            </w:r>
            <w:r>
              <w:rPr>
                <w:rFonts w:hint="default" w:ascii="Arial" w:hAnsi="Arial" w:eastAsia="DejaVu Sans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risk</w:t>
            </w:r>
            <w:r>
              <w:rPr>
                <w:rFonts w:hint="default" w:ascii="Arial" w:hAnsi="Arial" w:eastAsia="DejaVu Sans" w:cs="Arial"/>
                <w:b/>
                <w:bCs/>
                <w:color w:val="000000"/>
                <w:sz w:val="22"/>
                <w:szCs w:val="22"/>
              </w:rPr>
              <w:t xml:space="preserve"> factors and prior 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procedural </w:t>
            </w:r>
          </w:p>
        </w:tc>
      </w:tr>
      <w:tr w14:paraId="1EC76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449BE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66A3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711 (76.7%)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832C4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134 (80.24%)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EA1A6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0.315</w:t>
            </w:r>
          </w:p>
        </w:tc>
      </w:tr>
      <w:tr w14:paraId="59AB5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3210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AD49C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379 (40.88%)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E4E2B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65 (38.92%)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F8221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0.635</w:t>
            </w:r>
          </w:p>
        </w:tc>
      </w:tr>
      <w:tr w14:paraId="29184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6E3E5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Hyperlipidemia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5F13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398 (42.98%)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76AC1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60 (35.93%)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16219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0.089</w:t>
            </w:r>
          </w:p>
        </w:tc>
      </w:tr>
      <w:tr w14:paraId="5AFB0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6D648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Dialysis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5BF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105 (11.33%)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41EBE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34 (20.36%)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CEBB6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0.001</w:t>
            </w:r>
          </w:p>
        </w:tc>
      </w:tr>
      <w:tr w14:paraId="493D0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2AFB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Current smoker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F674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327 (35.28%)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69FE9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52 (31.14%)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BFD56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 w:bidi="ar-SA"/>
              </w:rPr>
              <w:t>0.301</w:t>
            </w:r>
          </w:p>
        </w:tc>
      </w:tr>
      <w:tr w14:paraId="233FB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B8759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Prior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MI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85B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24 (2.59%)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3FCE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 (2.4%)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0A3EF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1</w:t>
            </w:r>
          </w:p>
        </w:tc>
      </w:tr>
      <w:tr w14:paraId="5FA8F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3C10C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Prior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PCI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CCF6E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86 (9.28%)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9819E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12 (7.19%)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8C501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0.384</w:t>
            </w:r>
          </w:p>
        </w:tc>
      </w:tr>
      <w:tr w14:paraId="4068B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57D91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Prior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CABG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631B5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11 (1.19%)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C534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 (1.8%)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74305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0.786</w:t>
            </w:r>
          </w:p>
        </w:tc>
      </w:tr>
      <w:tr w14:paraId="60D0A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804CC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DejaVu Sans" w:cs="Arial"/>
                <w:b/>
                <w:bCs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Type of ACS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6B234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2D0A5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2E23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65866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5D18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NSTE-ACS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11DF6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426 (45.95%)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3CD45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49 (29.34%)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FE6EB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557B5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C2FF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STEMI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472DE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501 (54.05%)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E51ED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118 (70.66%)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5A829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10E8C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3777" w:type="pct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DDC9A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Aetiology of CKD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F3DF5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0.06</w:t>
            </w:r>
          </w:p>
        </w:tc>
      </w:tr>
      <w:tr w14:paraId="7F904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83F31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Chronic glomerulonephritis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D80CD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150 (16.18%)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540BC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25 (14.97%)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BEC86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0D875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2C751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Diabetic nephropathy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CE4D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183 (19.74%)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0A3B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18 (10.78%)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9664B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3341F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E76B3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Hypertensive nephropathy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51CC4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267 (28.8%)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56D5C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56 (33.53%)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15C47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53011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8099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lgA nephropathy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64793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23 (2.48%)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8F1B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 (0.6%)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8C285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6BCFC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400F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Membranous nephropathy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9FA7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29 (3.13%)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C5FF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 (3.59%)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501A5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23FA5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1FF13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Hyperuricemic nephropathy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28C68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66 (7.12%)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DE3B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16 (9.58%)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91F48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51EA6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9070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Other/unknown reasons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32D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209 (22.55%)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37FFC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45 (26.95%)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6C196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</w:p>
        </w:tc>
      </w:tr>
      <w:tr w14:paraId="3F105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000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BED1F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DejaVu Sans" w:cs="Arial"/>
                <w:b/>
                <w:bCs/>
                <w:color w:val="000000"/>
                <w:sz w:val="22"/>
                <w:szCs w:val="22"/>
              </w:rPr>
              <w:t>Laboratory data</w:t>
            </w:r>
          </w:p>
        </w:tc>
      </w:tr>
      <w:tr w14:paraId="3C983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DA0DB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Serum c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reatinine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(mg/dL)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1CE95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1.41 (1.2,2)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706B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1.69 (1.3,2.87)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1914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 w14:paraId="52506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4897D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eGFR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min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1.73m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91A4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42.27 (25.08,53.46)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5B8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34.02 (16.56,48.96)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06BC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 w14:paraId="34D96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DFEE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FBG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mmol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03353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6.8 (5.3,8.6)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8828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7.9 (6.4,11.2)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70443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 w14:paraId="631C3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1FC25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TC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mmol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34AC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4.49 (3.73,5.31)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72C9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4.46 (3.55,5.3)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B7C5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0.354</w:t>
            </w:r>
          </w:p>
        </w:tc>
      </w:tr>
      <w:tr w14:paraId="1C85D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5F209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TG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mmol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C9C44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1.33 (0.96,1.88)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E4B1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1.59 (1.05,2.26)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5FFA6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0.001</w:t>
            </w:r>
          </w:p>
        </w:tc>
      </w:tr>
      <w:tr w14:paraId="738EC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F108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HDL-C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mmol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1C8A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0.95 (0.79,1.16)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4D716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0.96 (0.82,1.26)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E44D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0.327</w:t>
            </w:r>
          </w:p>
        </w:tc>
      </w:tr>
      <w:tr w14:paraId="69923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DC545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LDL-C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eastAsia="zh-CN"/>
              </w:rPr>
              <w:t>(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mmol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EF936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2.49 (1.86,3.19)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2AB2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2.26 (1.51,3.05)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4A46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0.03</w:t>
            </w:r>
          </w:p>
        </w:tc>
      </w:tr>
      <w:tr w14:paraId="32D00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7A051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GRACE score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8B0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128 (112,141)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8100C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143 (132.5,157)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C201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&lt;0.001</w:t>
            </w:r>
          </w:p>
        </w:tc>
      </w:tr>
      <w:tr w14:paraId="30334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000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7D2EE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sz w:val="22"/>
                <w:szCs w:val="22"/>
                <w:lang w:val="en-US" w:eastAsia="zh-CN"/>
              </w:rPr>
              <w:t>Echocardiographic and angiographic data</w:t>
            </w:r>
          </w:p>
        </w:tc>
      </w:tr>
      <w:tr w14:paraId="05D93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ADA4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LVEF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(%)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60763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52 (45,61.9)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ED484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46 (38,52.3)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50A8E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DB1D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A41B8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Multivessel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disease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8E56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311 (33.55%)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75AE1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62 (37.13%)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5AA1A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0.369</w:t>
            </w:r>
          </w:p>
        </w:tc>
      </w:tr>
      <w:tr w14:paraId="1486B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33381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LAD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stenosis &gt;= 50%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0739A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771 (83.17%)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1B936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139 (83.23%)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278F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0.984</w:t>
            </w:r>
          </w:p>
        </w:tc>
      </w:tr>
      <w:tr w14:paraId="5A148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548D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LCX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stenosis &gt;= 50%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BCDB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569 (61.38%)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29F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110 (65.87%)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13335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0.271</w:t>
            </w:r>
          </w:p>
        </w:tc>
      </w:tr>
      <w:tr w14:paraId="09CAB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F180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RCA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stenosis &gt;= 50%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D668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528 (56.96%)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BEE65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108 (64.67%)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5D604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0.063</w:t>
            </w:r>
          </w:p>
        </w:tc>
      </w:tr>
      <w:tr w14:paraId="51A8B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973A7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Calcified lesions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A8484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165 (17.8%)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3AF9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26 (15.57%)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70950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0.485</w:t>
            </w:r>
          </w:p>
        </w:tc>
      </w:tr>
      <w:tr w14:paraId="36330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8D595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Thrombosis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CED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139 (14.99%)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65E78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30 (17.96%)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AE04C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0.328</w:t>
            </w:r>
          </w:p>
        </w:tc>
      </w:tr>
      <w:tr w14:paraId="67603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000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3D830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cs="Arial"/>
                <w:sz w:val="22"/>
                <w:szCs w:val="22"/>
              </w:rPr>
            </w:pPr>
            <w:r>
              <w:rPr>
                <w:rFonts w:hint="default" w:ascii="Arial" w:hAnsi="Arial" w:eastAsia="DejaVu Sans" w:cs="Arial"/>
                <w:b/>
                <w:bCs/>
                <w:color w:val="000000"/>
                <w:sz w:val="22"/>
                <w:szCs w:val="22"/>
              </w:rPr>
              <w:t>Medical therapy</w:t>
            </w:r>
          </w:p>
        </w:tc>
      </w:tr>
      <w:tr w14:paraId="58A48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3F814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DAPT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333EE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825 (89%)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DB7C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156 (93.41%)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7EB0C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0.084</w:t>
            </w:r>
          </w:p>
        </w:tc>
      </w:tr>
      <w:tr w14:paraId="1823D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8D4ED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Beta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blocker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A8414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526 (56.74%)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B375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62 (37.13%)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DD8B7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490B9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A2B4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ACEI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ARB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F0F00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361 (38.94%)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BA4FC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48 (28.74%)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25C44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0.012</w:t>
            </w:r>
          </w:p>
        </w:tc>
      </w:tr>
      <w:tr w14:paraId="6B2AB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721AF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b w:val="0"/>
                <w:bCs w:val="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</w:rPr>
              <w:t>Statin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C2668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873 (94.17%)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158A8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123 (73.65%)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97C3C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1C182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93273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Insulin</w:t>
            </w:r>
          </w:p>
        </w:tc>
        <w:tc>
          <w:tcPr>
            <w:tcW w:w="122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D852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138 (14.89%)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6435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29 (17.37%)</w:t>
            </w:r>
          </w:p>
        </w:tc>
        <w:tc>
          <w:tcPr>
            <w:tcW w:w="1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822B0">
            <w:pPr>
              <w:spacing w:before="100" w:after="100" w:line="240" w:lineRule="auto"/>
              <w:ind w:left="100" w:right="100" w:firstLine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0.412</w:t>
            </w:r>
          </w:p>
        </w:tc>
      </w:tr>
      <w:tr w14:paraId="17159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333" w:type="pct"/>
            <w:tcBorders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9910C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DejaVu Sans" w:cs="Arial"/>
                <w:b w:val="0"/>
                <w:bCs w:val="0"/>
                <w:color w:val="000000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212121"/>
                <w:spacing w:val="0"/>
                <w:sz w:val="22"/>
                <w:szCs w:val="22"/>
                <w:shd w:val="clear" w:color="auto" w:fill="auto"/>
                <w:lang w:val="en-US" w:eastAsia="zh-CN"/>
              </w:rPr>
              <w:t>Oral a</w:t>
            </w:r>
            <w:r>
              <w:rPr>
                <w:rFonts w:hint="default" w:ascii="Arial" w:hAnsi="Arial" w:eastAsia="Cambria" w:cs="Arial"/>
                <w:i w:val="0"/>
                <w:iCs w:val="0"/>
                <w:caps w:val="0"/>
                <w:color w:val="212121"/>
                <w:spacing w:val="0"/>
                <w:sz w:val="22"/>
                <w:szCs w:val="22"/>
                <w:shd w:val="clear" w:color="auto" w:fill="auto"/>
              </w:rPr>
              <w:t>ntidiabetic agents</w:t>
            </w:r>
          </w:p>
        </w:tc>
        <w:tc>
          <w:tcPr>
            <w:tcW w:w="1221" w:type="pct"/>
            <w:tcBorders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B04B8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309 (33.33%)</w:t>
            </w:r>
          </w:p>
        </w:tc>
        <w:tc>
          <w:tcPr>
            <w:tcW w:w="1222" w:type="pct"/>
            <w:tcBorders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864F2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cs="Arial" w:eastAsiaTheme="minorEastAsia"/>
                <w:sz w:val="22"/>
                <w:szCs w:val="22"/>
                <w:lang w:val="en-US" w:eastAsia="en-US" w:bidi="ar-SA"/>
              </w:rPr>
            </w:pPr>
            <w:r>
              <w:rPr>
                <w:rFonts w:hint="default" w:ascii="Arial" w:hAnsi="Arial" w:eastAsia="DejaVu Sans" w:cs="Arial"/>
                <w:color w:val="000000"/>
                <w:sz w:val="22"/>
                <w:szCs w:val="22"/>
              </w:rPr>
              <w:t>55 (32.93%)</w:t>
            </w:r>
          </w:p>
        </w:tc>
        <w:tc>
          <w:tcPr>
            <w:tcW w:w="1222" w:type="pct"/>
            <w:tcBorders>
              <w:bottom w:val="single" w:color="666666" w:sz="1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7BD54">
            <w:pP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Arial" w:hAnsi="Arial" w:eastAsia="宋体" w:cs="Arial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0.92</w:t>
            </w:r>
          </w:p>
        </w:tc>
      </w:tr>
    </w:tbl>
    <w:p w14:paraId="6A438AC6">
      <w:pPr>
        <w:pStyle w:val="24"/>
        <w:spacing w:line="480" w:lineRule="auto"/>
        <w:jc w:val="both"/>
        <w:rPr>
          <w:rFonts w:hint="default" w:ascii="Arial" w:hAnsi="Arial" w:cs="Arial"/>
          <w:sz w:val="22"/>
          <w:szCs w:val="22"/>
          <w:lang w:val="en-US" w:eastAsia="zh-CN"/>
        </w:rPr>
      </w:pPr>
    </w:p>
    <w:p w14:paraId="2F81D931">
      <w:pPr>
        <w:pStyle w:val="24"/>
        <w:spacing w:line="360" w:lineRule="auto"/>
        <w:jc w:val="both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Abbreviations: TyG, triglyceride-glucose; T1, tertile 1; T2, tertile 2; T3, tertile 3; BMI, body mass index; SBP, systolic blood pressure; DBP, diastolic blood pressure; MI, myocardial infarction; PCI, percutaneous coronary intervention; CABG, coronary artery bypass grafting; ACS, acute coronary syndrome; NSTEMI, non–ST-segment elevation myocardial infarction; STEMI, ST-segment elevation myocardial infarction; CKD, chronic kidney disease; eGFR, estimated glomerular filtration rate; FBG, fasting blood glu</w:t>
      </w:r>
      <w:bookmarkStart w:id="0" w:name="_GoBack"/>
      <w:bookmarkEnd w:id="0"/>
      <w:r>
        <w:rPr>
          <w:rFonts w:hint="default" w:ascii="Arial" w:hAnsi="Arial" w:cs="Arial"/>
          <w:sz w:val="22"/>
          <w:szCs w:val="22"/>
          <w:lang w:val="en-US" w:eastAsia="zh-CN"/>
        </w:rPr>
        <w:t>cose; TC, total cholesterol; TG, triglycerides; HDL-C, high-density lipoprotein cholesterol; LDL-C, low-density lipoprotein cholesterol; GRACE, The Global Registry of Acute Coronary Events; LVEF, left ventricular ejection fraction; LAD, left anterior descending coronary; LCX, left circumflex artery; RCA, right coronary artery; DAPT, dual antiplatelet therapy; ACEI/ARB, angiotensin-converting enzyme inhibitor/angiotensin II receptor blocker.</w:t>
      </w:r>
    </w:p>
    <w:p w14:paraId="6E39A702"/>
    <w:sectPr>
      <w:type w:val="continuous"/>
      <w:pgSz w:w="11900" w:h="16840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4NDUwNmNiM2I1MzAzYWY5NDZiMDlmZWY4ZjMxZTAifQ=="/>
  </w:docVars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056735E7"/>
    <w:rsid w:val="18EF2071"/>
    <w:rsid w:val="22970985"/>
    <w:rsid w:val="316E7086"/>
    <w:rsid w:val="56353B9C"/>
    <w:rsid w:val="647E279D"/>
    <w:rsid w:val="7B5F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5"/>
    <w:autoRedefine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6"/>
    <w:autoRedefine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7"/>
    <w:autoRedefine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autoRedefine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7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table" w:styleId="9">
    <w:name w:val="Table Professional"/>
    <w:basedOn w:val="8"/>
    <w:autoRedefine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0">
    <w:name w:val="Light List Accent 2"/>
    <w:basedOn w:val="8"/>
    <w:autoRedefine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2">
    <w:name w:val="strong"/>
    <w:basedOn w:val="11"/>
    <w:autoRedefine/>
    <w:qFormat/>
    <w:uiPriority w:val="1"/>
    <w:rPr>
      <w:b/>
    </w:rPr>
  </w:style>
  <w:style w:type="paragraph" w:customStyle="1" w:styleId="13">
    <w:name w:val="centered"/>
    <w:basedOn w:val="1"/>
    <w:autoRedefine/>
    <w:qFormat/>
    <w:uiPriority w:val="0"/>
    <w:pPr>
      <w:jc w:val="center"/>
    </w:pPr>
  </w:style>
  <w:style w:type="table" w:customStyle="1" w:styleId="14">
    <w:name w:val="table_template"/>
    <w:basedOn w:val="8"/>
    <w:autoRedefine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">
    <w:name w:val="Titre 1 Car"/>
    <w:basedOn w:val="11"/>
    <w:link w:val="2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Titre 2 Car"/>
    <w:basedOn w:val="11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7">
    <w:name w:val="Titre 3 Car"/>
    <w:basedOn w:val="11"/>
    <w:link w:val="4"/>
    <w:autoRedefine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18">
    <w:name w:val="Image Caption"/>
    <w:basedOn w:val="1"/>
    <w:autoRedefine/>
    <w:qFormat/>
    <w:uiPriority w:val="0"/>
    <w:pPr>
      <w:jc w:val="center"/>
    </w:pPr>
    <w:rPr>
      <w:b/>
      <w:i/>
    </w:rPr>
  </w:style>
  <w:style w:type="paragraph" w:customStyle="1" w:styleId="19">
    <w:name w:val="Table Caption"/>
    <w:basedOn w:val="18"/>
    <w:autoRedefine/>
    <w:qFormat/>
    <w:uiPriority w:val="0"/>
  </w:style>
  <w:style w:type="character" w:customStyle="1" w:styleId="20">
    <w:name w:val="Texte de bulles Car"/>
    <w:basedOn w:val="11"/>
    <w:link w:val="5"/>
    <w:autoRedefine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1">
    <w:name w:val="reference_id"/>
    <w:basedOn w:val="11"/>
    <w:autoRedefine/>
    <w:qFormat/>
    <w:uiPriority w:val="1"/>
    <w:rPr>
      <w:vertAlign w:val="superscript"/>
    </w:rPr>
  </w:style>
  <w:style w:type="paragraph" w:customStyle="1" w:styleId="22">
    <w:name w:val="graphic title"/>
    <w:basedOn w:val="18"/>
    <w:next w:val="1"/>
    <w:qFormat/>
    <w:uiPriority w:val="0"/>
  </w:style>
  <w:style w:type="paragraph" w:customStyle="1" w:styleId="23">
    <w:name w:val="table title"/>
    <w:basedOn w:val="19"/>
    <w:next w:val="1"/>
    <w:autoRedefine/>
    <w:qFormat/>
    <w:uiPriority w:val="0"/>
  </w:style>
  <w:style w:type="paragraph" w:customStyle="1" w:styleId="24">
    <w:name w:val="EndNote Bibliography"/>
    <w:basedOn w:val="1"/>
    <w:autoRedefine/>
    <w:qFormat/>
    <w:uiPriority w:val="0"/>
    <w:rPr>
      <w:rFonts w:ascii="等线" w:hAnsi="等线" w:eastAsia="等线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458</Words>
  <Characters>2868</Characters>
  <Lines>0</Lines>
  <Paragraphs>0</Paragraphs>
  <TotalTime>0</TotalTime>
  <ScaleCrop>false</ScaleCrop>
  <LinksUpToDate>false</LinksUpToDate>
  <CharactersWithSpaces>3139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YiMiiii</dc:creator>
  <cp:lastModifiedBy>新痘枷乖娇</cp:lastModifiedBy>
  <dcterms:modified xsi:type="dcterms:W3CDTF">2024-07-05T15:43:21Z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40BFA451CBB34D08A7BA9046831D5E4A_12</vt:lpwstr>
  </property>
</Properties>
</file>