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eastAsia="宋体" w:cs="Arial"/>
          <w:sz w:val="22"/>
          <w:szCs w:val="22"/>
          <w:lang w:val="en-US" w:eastAsia="zh-CN"/>
        </w:rPr>
      </w:pPr>
      <w:r>
        <w:rPr>
          <w:rFonts w:hint="default" w:ascii="Arial" w:hAnsi="Arial" w:eastAsia="宋体" w:cs="Arial"/>
          <w:sz w:val="22"/>
          <w:szCs w:val="22"/>
          <w:lang w:val="en-US" w:eastAsia="zh-CN"/>
        </w:rPr>
        <w:t>Supplemental table 2</w:t>
      </w:r>
      <w:r>
        <w:rPr>
          <w:rFonts w:hint="default" w:ascii="Arial" w:hAnsi="Arial" w:cs="Arial"/>
          <w:sz w:val="22"/>
          <w:szCs w:val="22"/>
        </w:rPr>
        <w:t xml:space="preserve">. Baseline characteristics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stratified by</w:t>
      </w:r>
      <w:r>
        <w:rPr>
          <w:rFonts w:hint="default" w:ascii="Arial" w:hAnsi="Arial" w:cs="Arial"/>
          <w:sz w:val="22"/>
          <w:szCs w:val="22"/>
        </w:rPr>
        <w:t xml:space="preserve">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MACE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  <w:sz w:val="22"/>
          <w:szCs w:val="22"/>
        </w:rPr>
        <w:t>
</w:t>
      </w:r>
      <w:r>
        <w:rPr>
          <w:rFonts w:hint="default" w:ascii="Arial" w:hAnsi="Arial" w:cs="Arial"/>
        </w:rPr>
        <w:t>
</w:t>
      </w:r>
    </w:p>
    <w:tbl>
      <w:tblPr>
        <w:tblStyle w:val="8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2476"/>
        <w:gridCol w:w="2343"/>
        <w:gridCol w:w="10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tblHeader/>
          <w:jc w:val="center"/>
        </w:trPr>
        <w:tc>
          <w:tcPr>
            <w:tcW w:w="1780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Variables</w:t>
            </w:r>
          </w:p>
        </w:tc>
        <w:tc>
          <w:tcPr>
            <w:tcW w:w="1366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Non-MACE </w:t>
            </w: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(n=809)</w:t>
            </w:r>
          </w:p>
        </w:tc>
        <w:tc>
          <w:tcPr>
            <w:tcW w:w="1292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MACE </w:t>
            </w: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(n=285)</w:t>
            </w:r>
          </w:p>
        </w:tc>
        <w:tc>
          <w:tcPr>
            <w:tcW w:w="560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000000"/>
                <w:sz w:val="22"/>
                <w:szCs w:val="22"/>
                <w:lang w:val="en-US" w:eastAsia="zh-CN"/>
              </w:rPr>
              <w:t>P</w:t>
            </w:r>
            <w:bookmarkStart w:id="0" w:name="_GoBack"/>
            <w:bookmarkEnd w:id="0"/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TyG index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8.87 (8.48,9.29)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9.11 (8.7,9.7)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Demographic data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Age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years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73 (66,80)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75 (68,81)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571 (70.58%)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180 (63.16%)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BMI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kg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）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23.56 (21.3,25.39)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22.89 (20.55,24.77)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Heart rate (bpm)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77 (67,90)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80 (68,98)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SBP (mmHg)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134 (116,153)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134 (117,154)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0.677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DBP (mmHg)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73 (64,84)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75 (64,84)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0.469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Cardiovascular</w:t>
            </w: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risk</w:t>
            </w: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 xml:space="preserve"> factors and prior 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procedural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615 (76.02%)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230 (80.7%)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333 (41.16%)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111 (38.95%)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0.513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Hyperlipidemia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354 (43.76%)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104 (36.62%)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Dialysis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97 (11.99%)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42 (14.74%)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Current smoker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277 (34.24%)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102 (35.79%)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0.636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MI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 (2.22%)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 (3.51%)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PCI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64 (7.91%)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34 (11.93%)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CABG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 (1.11%)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 (1.75%)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0.601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4439" w:type="pct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Type of ACS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0.918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NSTE-ACS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352 (43.51%)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123 (43.16%)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STEMI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457 (56.49%)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162 (56.84%)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color w:val="000000" w:themeColor="text1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Aetiology of CKD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Chronic glomerulonephritis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134 (16.56%)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41 (14.39%)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Diabetic nephropathy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145 (17.92%)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56 (19.65%)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Hypertensive nephropathy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241 (29.79%)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82 (28.77%)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lgA nephropathy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22 (2.72%)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 (0.7%)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Membranous nephropathy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22 (2.72%)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 (4.56%)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Hyperuricemic nephropathy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58 (7.17%)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24 (8.42%)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Other/unknown reasons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187 (23.11%)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67 (23.51%)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>Laboratory data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Serum c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reatinine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(mg/dL)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1.43 (1.2,2)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1.53 (1.2,2.3)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0.131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eGFR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min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1.73m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42.57 (25.59,53.5)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36.98 (18.92,50.1)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FBG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6.8 (5.4,8.7)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7.2 (5.6,10.2)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TC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4.46 (3.71,5.32)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4.53 (3.61,5.27)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TG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1.3 (0.93,1.84)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1.57 (1.15,2.23)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HDL-C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0.94 (0.79,1.15)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0.98 (0.79,1.21)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LDL-C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2.46 (1.8,3.19)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2.55 (1.81,3.13)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0.578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GRACE score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128 (112,141)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137 (121,155)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Echocardiographic and angiographic data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LVEF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(%)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52 (45,61.5)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48 (41,59.7)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Multivessel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disease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274 (33.87%)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99 (34.74%)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LAD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671 (82.94%)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239 (83.86%)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0.722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LCX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493 (60.94%)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186 (65.26%)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0.196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RCA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480 (59.33%)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156 (54.74%)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0.176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Calcified lesions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147 (18.17%)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44 (15.44%)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Thrombosis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122 (15.08%)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47 (16.49%)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0.571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>Medical therapy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DAPT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729 (90.11%)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252 (88.42%)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Beta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blocker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454 (56.12%)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134 (47.02%)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ACEI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ARB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310 (38.32%)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99 (34.74%)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Statin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755 (93.33%)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241 (84.56%)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shd w:val="clear" w:color="auto" w:fill="auto"/>
                <w:lang w:val="en-US" w:eastAsia="zh-CN"/>
              </w:rPr>
              <w:t>Insulin</w:t>
            </w:r>
          </w:p>
        </w:tc>
        <w:tc>
          <w:tcPr>
            <w:tcW w:w="13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117 (14.46%)</w:t>
            </w:r>
          </w:p>
        </w:tc>
        <w:tc>
          <w:tcPr>
            <w:tcW w:w="129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50 (17.54%)</w:t>
            </w:r>
          </w:p>
        </w:tc>
        <w:tc>
          <w:tcPr>
            <w:tcW w:w="5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780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212121"/>
                <w:spacing w:val="0"/>
                <w:sz w:val="22"/>
                <w:szCs w:val="22"/>
                <w:shd w:val="clear" w:color="auto" w:fill="auto"/>
                <w:lang w:val="en-US" w:eastAsia="zh-CN"/>
              </w:rPr>
              <w:t>Oral a</w:t>
            </w:r>
            <w:r>
              <w:rPr>
                <w:rFonts w:hint="default" w:ascii="Arial" w:hAnsi="Arial" w:eastAsia="Cambria" w:cs="Arial"/>
                <w:i w:val="0"/>
                <w:iCs w:val="0"/>
                <w:caps w:val="0"/>
                <w:color w:val="212121"/>
                <w:spacing w:val="0"/>
                <w:sz w:val="22"/>
                <w:szCs w:val="22"/>
                <w:shd w:val="clear" w:color="auto" w:fill="auto"/>
              </w:rPr>
              <w:t>ntidiabetic agents</w:t>
            </w:r>
          </w:p>
        </w:tc>
        <w:tc>
          <w:tcPr>
            <w:tcW w:w="1366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271 (33.5%)</w:t>
            </w:r>
          </w:p>
        </w:tc>
        <w:tc>
          <w:tcPr>
            <w:tcW w:w="1292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93 (32.63%)</w:t>
            </w:r>
          </w:p>
        </w:tc>
        <w:tc>
          <w:tcPr>
            <w:tcW w:w="560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0.789</w:t>
            </w:r>
          </w:p>
        </w:tc>
      </w:tr>
    </w:tbl>
    <w:p>
      <w:pPr>
        <w:pStyle w:val="24"/>
        <w:spacing w:line="480" w:lineRule="auto"/>
        <w:jc w:val="both"/>
        <w:rPr>
          <w:rFonts w:hint="default" w:ascii="Arial" w:hAnsi="Arial" w:cs="Arial"/>
          <w:szCs w:val="20"/>
          <w:lang w:val="en-US" w:eastAsia="zh-CN"/>
        </w:rPr>
      </w:pPr>
      <w:r>
        <w:rPr>
          <w:rFonts w:hint="default" w:ascii="Arial" w:hAnsi="Arial" w:cs="Arial"/>
          <w:szCs w:val="20"/>
          <w:lang w:val="en-US" w:eastAsia="zh-CN"/>
        </w:rPr>
        <w:t>Abbreviations: TyG, triglyceride-glucose; T1, tertile 1; T2, tertile 2; T3, tertile 3; BMI, body mass index; SBP, systolic blood pressure; DBP, diastolic blood pressure; MI, myocardial infarction; PCI, percutaneous coronary intervention; CABG, coronary artery bypass grafting; ACS, acute coronary syndrome; NSTEMI, non–ST-segment elevation myocardial infarction; STEMI, ST-segment elevation myocardial infarction; CKD, chronic kidney disease; eGFR, estimated glomerular filtration rate; FBG, fasting blood glucose; TC, total cholesterol; TG, triglycerides; HDL-C, high-density lipoprotein cholesterol; LDL-C, low-density lipoprotein cholesterol; GRACE, The Global Registry of Acute Coronary Events; LVEF, left ventricular ejection fraction; LAD, left anterior descending coronary; LCX, left circumflex artery; RCA, right coronary artery; DAPT, dual antiplatelet therapy; ACEI/ARB, angiotensin-converting enzyme inhibitor/angiotensin II receptor blocker.</w:t>
      </w:r>
    </w:p>
    <w:p/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yZTE2ZDNiOGRiNzY2ODM2NTYzNjk3Nzg5M2VjZTQifQ=="/>
  </w:docVars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2C58536B"/>
    <w:rsid w:val="31497FFC"/>
    <w:rsid w:val="3D05582A"/>
    <w:rsid w:val="51223E8F"/>
    <w:rsid w:val="60C304B3"/>
    <w:rsid w:val="616E3369"/>
    <w:rsid w:val="713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autoRedefine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autoRedefine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autoRedefine/>
    <w:qFormat/>
    <w:uiPriority w:val="1"/>
    <w:rPr>
      <w:b/>
    </w:rPr>
  </w:style>
  <w:style w:type="paragraph" w:customStyle="1" w:styleId="13">
    <w:name w:val="centered"/>
    <w:basedOn w:val="1"/>
    <w:autoRedefine/>
    <w:qFormat/>
    <w:uiPriority w:val="0"/>
    <w:pPr>
      <w:jc w:val="center"/>
    </w:pPr>
  </w:style>
  <w:style w:type="table" w:customStyle="1" w:styleId="14">
    <w:name w:val="table_template"/>
    <w:basedOn w:val="8"/>
    <w:autoRedefine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autoRedefine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autoRedefine/>
    <w:qFormat/>
    <w:uiPriority w:val="0"/>
  </w:style>
  <w:style w:type="character" w:customStyle="1" w:styleId="20">
    <w:name w:val="Texte de bulles Car"/>
    <w:basedOn w:val="11"/>
    <w:link w:val="5"/>
    <w:autoRedefine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autoRedefine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autoRedefine/>
    <w:qFormat/>
    <w:uiPriority w:val="0"/>
  </w:style>
  <w:style w:type="paragraph" w:customStyle="1" w:styleId="23">
    <w:name w:val="table title"/>
    <w:basedOn w:val="19"/>
    <w:next w:val="1"/>
    <w:autoRedefine/>
    <w:qFormat/>
    <w:uiPriority w:val="0"/>
  </w:style>
  <w:style w:type="paragraph" w:customStyle="1" w:styleId="24">
    <w:name w:val="EndNote Bibliography"/>
    <w:basedOn w:val="1"/>
    <w:autoRedefine/>
    <w:qFormat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822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YiMiiii</dc:creator>
  <cp:lastModifiedBy>煽辉戏刑渡</cp:lastModifiedBy>
  <dcterms:modified xsi:type="dcterms:W3CDTF">2024-01-09T04:03:01Z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1C9479BEA25A4B82955D03F0ADD7F4A2_12</vt:lpwstr>
  </property>
</Properties>
</file>