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DFD" w:rsidRPr="00404DFD" w:rsidRDefault="00404DFD" w:rsidP="00404DFD">
      <w:pPr>
        <w:spacing w:before="120" w:after="120" w:line="240" w:lineRule="auto"/>
        <w:textAlignment w:val="baseline"/>
        <w:rPr>
          <w:rFonts w:asciiTheme="minorBidi" w:eastAsia="Times New Roman" w:hAnsiTheme="minorBidi"/>
          <w:b/>
          <w:bCs/>
          <w:color w:val="1B1C1D"/>
          <w:kern w:val="0"/>
          <w14:ligatures w14:val="none"/>
        </w:rPr>
      </w:pPr>
      <w:r w:rsidRPr="001D3A99">
        <w:rPr>
          <w:rFonts w:asciiTheme="minorBidi" w:eastAsia="Times New Roman" w:hAnsiTheme="minorBidi"/>
          <w:b/>
          <w:bCs/>
          <w:color w:val="1B1C1D"/>
          <w:kern w:val="0"/>
          <w14:ligatures w14:val="none"/>
        </w:rPr>
        <w:t>Supplementary Table 3: Summary of Dosing and Efficacy</w:t>
      </w:r>
      <w:bookmarkStart w:id="0" w:name="_GoBack"/>
      <w:bookmarkEnd w:id="0"/>
      <w:r w:rsidRPr="001D3A99">
        <w:rPr>
          <w:rFonts w:asciiTheme="minorBidi" w:eastAsia="Times New Roman" w:hAnsiTheme="minorBidi"/>
          <w:b/>
          <w:bCs/>
          <w:color w:val="1B1C1D"/>
          <w:kern w:val="0"/>
          <w14:ligatures w14:val="none"/>
        </w:rPr>
        <w:t xml:space="preserve"> Data from Key Clinical Trials</w:t>
      </w:r>
    </w:p>
    <w:tbl>
      <w:tblPr>
        <w:tblStyle w:val="ListTable1Light"/>
        <w:tblW w:w="5000" w:type="pct"/>
        <w:jc w:val="center"/>
        <w:tblLook w:val="04A0" w:firstRow="1" w:lastRow="0" w:firstColumn="1" w:lastColumn="0" w:noHBand="0" w:noVBand="1"/>
      </w:tblPr>
      <w:tblGrid>
        <w:gridCol w:w="4650"/>
        <w:gridCol w:w="4654"/>
        <w:gridCol w:w="4654"/>
      </w:tblGrid>
      <w:tr w:rsidR="00404DFD" w:rsidRPr="000E3763" w:rsidTr="00404D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4DFD" w:rsidRPr="000E3763" w:rsidRDefault="00404DFD" w:rsidP="0049753E">
            <w:pPr>
              <w:tabs>
                <w:tab w:val="left" w:pos="2616"/>
              </w:tabs>
              <w:spacing w:before="120" w:after="120"/>
              <w:jc w:val="center"/>
              <w:textAlignment w:val="baseline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Agent (Generic Name)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Dosage Information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Key Clinical Trial(s) and Efficacy Data (% Weight Loss)</w:t>
            </w:r>
          </w:p>
        </w:tc>
      </w:tr>
      <w:tr w:rsidR="00404DFD" w:rsidRPr="000E3763" w:rsidTr="00404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12" w:space="0" w:color="auto"/>
            </w:tcBorders>
            <w:vAlign w:val="center"/>
          </w:tcPr>
          <w:p w:rsidR="00404DFD" w:rsidRPr="001D3A99" w:rsidRDefault="00404DFD" w:rsidP="0049753E">
            <w:pPr>
              <w:spacing w:after="0"/>
              <w:jc w:val="center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D3A99"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  <w:t>Orlistat</w:t>
            </w:r>
            <w:proofErr w:type="spellEnd"/>
          </w:p>
          <w:p w:rsidR="00404DFD" w:rsidRPr="000E3763" w:rsidRDefault="00404DFD" w:rsidP="0049753E">
            <w:pPr>
              <w:spacing w:before="100" w:beforeAutospacing="1" w:after="100" w:afterAutospacing="1"/>
              <w:jc w:val="center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7" w:type="pct"/>
            <w:tcBorders>
              <w:top w:val="single" w:sz="12" w:space="0" w:color="auto"/>
            </w:tcBorders>
            <w:vAlign w:val="center"/>
          </w:tcPr>
          <w:p w:rsidR="00404DFD" w:rsidRPr="001D3A99" w:rsidRDefault="00404DFD" w:rsidP="0049753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1D3A99"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  <w:t>120 mg taken three times per day with meals.</w:t>
            </w:r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7" w:type="pct"/>
            <w:tcBorders>
              <w:top w:val="single" w:sz="12" w:space="0" w:color="auto"/>
            </w:tcBorders>
            <w:vAlign w:val="center"/>
          </w:tcPr>
          <w:p w:rsidR="00404DFD" w:rsidRPr="000E3763" w:rsidRDefault="00404DFD" w:rsidP="0049753E">
            <w:pPr>
              <w:spacing w:before="100" w:beforeAutospacing="1" w:after="100" w:after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1D3A99">
              <w:rPr>
                <w:rFonts w:asciiTheme="minorBidi" w:eastAsia="Times New Roman" w:hAnsiTheme="minorBidi"/>
                <w:b/>
                <w:bCs/>
                <w:kern w:val="0"/>
                <w:sz w:val="20"/>
                <w:szCs w:val="20"/>
                <w14:ligatures w14:val="none"/>
              </w:rPr>
              <w:t>XENDOS Trial</w:t>
            </w:r>
            <w:r w:rsidRPr="001D3A99"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  <w:t xml:space="preserve">: Over 4 years, </w:t>
            </w:r>
            <w:proofErr w:type="spellStart"/>
            <w:r w:rsidRPr="001D3A99"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  <w:t>orlistat</w:t>
            </w:r>
            <w:proofErr w:type="spellEnd"/>
            <w:r w:rsidRPr="001D3A99"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  <w:t xml:space="preserve"> reduced the risk of developing type 2 diabetes by 37.3% and resulted in greater sustained weight loss (5.8 kg) compared to placebo (3.0 kg). At 2 years, placebo-subtracted weig</w:t>
            </w:r>
            <w:r w:rsidRPr="000E3763"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  <w:t>ht loss was approximately 3.3 kg</w:t>
            </w:r>
          </w:p>
        </w:tc>
      </w:tr>
      <w:tr w:rsidR="00404DFD" w:rsidRPr="000E3763" w:rsidTr="00404D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Phentermine-</w:t>
            </w:r>
            <w:proofErr w:type="spellStart"/>
            <w:r w:rsidRPr="000E3763"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topiramate</w:t>
            </w:r>
            <w:proofErr w:type="spellEnd"/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7" w:type="pct"/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Initiated at 3.75 mg/23 mg daily for 14 days, then titrated up to a maximum of 15 mg/92 mg daily to mitigate side effects</w:t>
            </w:r>
          </w:p>
        </w:tc>
        <w:tc>
          <w:tcPr>
            <w:tcW w:w="1667" w:type="pct"/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SEQUEL Trial</w:t>
            </w: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 xml:space="preserve"> (2-year extension): Demonstrated sustained weight loss of 7.5% and 8.7% with mid and top doses, respectively</w:t>
            </w:r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CONQUER Trial</w:t>
            </w: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: Placebo-subtracted weight loss was 6.6% (mid-dose) and 8.6% (top dose)</w:t>
            </w:r>
          </w:p>
        </w:tc>
      </w:tr>
      <w:tr w:rsidR="00404DFD" w:rsidRPr="000E3763" w:rsidTr="00404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Naltrexone-bupropion</w:t>
            </w:r>
          </w:p>
        </w:tc>
        <w:tc>
          <w:tcPr>
            <w:tcW w:w="1667" w:type="pct"/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Dose is gradually increased to a target of 32 mg/360 mg per day to improve tolerability</w:t>
            </w:r>
          </w:p>
        </w:tc>
        <w:tc>
          <w:tcPr>
            <w:tcW w:w="1667" w:type="pct"/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COR-I Trial</w:t>
            </w: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: At 56 weeks, patients achieved a mean weight loss of 6.1% compared to 1.3% for placebo</w:t>
            </w:r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COR-II &amp; COR-Diabetes Trials</w:t>
            </w: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: Reported similar efficacy</w:t>
            </w:r>
          </w:p>
        </w:tc>
      </w:tr>
      <w:tr w:rsidR="00404DFD" w:rsidRPr="000E3763" w:rsidTr="00404D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3763"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Liraglutide</w:t>
            </w:r>
            <w:proofErr w:type="spellEnd"/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7" w:type="pct"/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3.0 mg administered via daily subcutaneous injection</w:t>
            </w:r>
          </w:p>
        </w:tc>
        <w:tc>
          <w:tcPr>
            <w:tcW w:w="1667" w:type="pct"/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SCALE Obesity and </w:t>
            </w:r>
            <w:proofErr w:type="spellStart"/>
            <w:r w:rsidRPr="000E3763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Prediabetes</w:t>
            </w:r>
            <w:proofErr w:type="spellEnd"/>
            <w:r w:rsidRPr="000E3763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Trial</w:t>
            </w: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: Resulted in 8.0% mean weight loss versus 2.6% with placebo</w:t>
            </w:r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SCALE Diabetes Trial</w:t>
            </w: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: Showed 6.0% weight loss versus 2.0% with placebo in patients with type 2 diabetes</w:t>
            </w:r>
          </w:p>
        </w:tc>
      </w:tr>
      <w:tr w:rsidR="00404DFD" w:rsidRPr="000E3763" w:rsidTr="00404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3763"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Semaglutide</w:t>
            </w:r>
            <w:proofErr w:type="spellEnd"/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7" w:type="pct"/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2.4 mg administered via weekly subcutaneous injection</w:t>
            </w:r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7" w:type="pct"/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STEP 1 Trial</w:t>
            </w: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: Showed an average placebo-subtracted weight loss of 12.4%</w:t>
            </w:r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STEP 2 Trial</w:t>
            </w: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: In adults with type 2 diabetes, resulted in 6.2% weight loss</w:t>
            </w:r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STEP 3 Trial</w:t>
            </w: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: When combined with intensive behavioral therapy, resulted in 10.3% weight loss</w:t>
            </w:r>
          </w:p>
        </w:tc>
      </w:tr>
      <w:tr w:rsidR="00404DFD" w:rsidRPr="000E3763" w:rsidTr="00404D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3763"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Tirzepatide</w:t>
            </w:r>
            <w:proofErr w:type="spellEnd"/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7" w:type="pct"/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Administered via weekly subcutaneous injection, with doses ranging from 5 mg to 15 mg</w:t>
            </w:r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7" w:type="pct"/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SURMOUNT-1 Trial</w:t>
            </w: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: In patients without diabetes, mean weight loss ranged from 15.0% (5 mg) to 20.9% (15 mg)</w:t>
            </w:r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SURMOUNT-2 Trial</w:t>
            </w: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: In patients with type 2 diabetes, weight loss ranged from 12.8% (10 mg) to 14.7% (15 mg)</w:t>
            </w:r>
          </w:p>
        </w:tc>
      </w:tr>
      <w:tr w:rsidR="00404DFD" w:rsidRPr="000E3763" w:rsidTr="00404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3763"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Setmelanotide</w:t>
            </w:r>
            <w:proofErr w:type="spellEnd"/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7" w:type="pct"/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Administered via daily subcutaneous injection. Approved for individuals aged 6 years and older with specific genetic forms of obesity</w:t>
            </w:r>
          </w:p>
        </w:tc>
        <w:tc>
          <w:tcPr>
            <w:tcW w:w="1667" w:type="pct"/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Monogenic Obesity Trials</w:t>
            </w: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 xml:space="preserve">: In patients with POMC or PCSK1 deficiency, mean weight loss was 25.6% after approximately one year. In patients with LEPR deficiency, mean weight loss was 12.5%. Also effective in </w:t>
            </w:r>
            <w:proofErr w:type="spellStart"/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Bardet-Biedl</w:t>
            </w:r>
            <w:proofErr w:type="spellEnd"/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 xml:space="preserve"> syndrome</w:t>
            </w:r>
          </w:p>
        </w:tc>
      </w:tr>
      <w:tr w:rsidR="00404DFD" w:rsidRPr="000E3763" w:rsidTr="00404D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bottom w:val="single" w:sz="12" w:space="0" w:color="auto"/>
            </w:tcBorders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Gelesis100</w:t>
            </w:r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7" w:type="pct"/>
            <w:tcBorders>
              <w:bottom w:val="single" w:sz="12" w:space="0" w:color="auto"/>
            </w:tcBorders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Medical device taken orally before meals</w:t>
            </w:r>
          </w:p>
        </w:tc>
        <w:tc>
          <w:tcPr>
            <w:tcW w:w="1667" w:type="pct"/>
            <w:tcBorders>
              <w:bottom w:val="single" w:sz="12" w:space="0" w:color="auto"/>
            </w:tcBorders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eastAsia="Times New Roman" w:hAnsiTheme="minorBid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GLOW Trial: </w:t>
            </w:r>
            <w:r w:rsidRPr="000E3763">
              <w:rPr>
                <w:rFonts w:asciiTheme="minorBidi" w:eastAsia="Times New Roman" w:hAnsiTheme="minorBidi"/>
                <w:color w:val="000000"/>
                <w:kern w:val="0"/>
                <w:sz w:val="20"/>
                <w:szCs w:val="20"/>
                <w14:ligatures w14:val="none"/>
              </w:rPr>
              <w:t>At 6 months, resulted in 6.4% weight loss versus 4.4% for placebo</w:t>
            </w:r>
          </w:p>
        </w:tc>
      </w:tr>
      <w:tr w:rsidR="00404DFD" w:rsidRPr="000E3763" w:rsidTr="00404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rPr>
                <w:rFonts w:asciiTheme="minorBidi" w:eastAsia="Times New Roman" w:hAnsiTheme="minorBidi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0E3763">
              <w:rPr>
                <w:rFonts w:asciiTheme="minorBidi" w:hAnsiTheme="minorBidi"/>
                <w:sz w:val="20"/>
                <w:szCs w:val="20"/>
              </w:rPr>
              <w:t>Emerging Therapies</w:t>
            </w:r>
            <w:r w:rsidRPr="000E3763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 xml:space="preserve"> (</w:t>
            </w:r>
            <w:r w:rsidRPr="000E3763">
              <w:rPr>
                <w:rFonts w:asciiTheme="minorBidi" w:hAnsiTheme="minorBidi"/>
                <w:i/>
                <w:iCs/>
                <w:sz w:val="20"/>
                <w:szCs w:val="20"/>
              </w:rPr>
              <w:t>Dosages are under investigation in ongoing clinical trials)</w:t>
            </w:r>
          </w:p>
        </w:tc>
      </w:tr>
      <w:tr w:rsidR="00404DFD" w:rsidRPr="000E3763" w:rsidTr="00404D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rPr>
                <w:rFonts w:asciiTheme="minorBidi" w:hAnsiTheme="minorBidi"/>
                <w:b w:val="0"/>
                <w:bCs w:val="0"/>
                <w:sz w:val="20"/>
                <w:szCs w:val="20"/>
              </w:rPr>
            </w:pPr>
            <w:proofErr w:type="spellStart"/>
            <w:r w:rsidRPr="000E3763">
              <w:rPr>
                <w:rFonts w:asciiTheme="minorBidi" w:hAnsiTheme="minorBidi"/>
                <w:b w:val="0"/>
                <w:bCs w:val="0"/>
                <w:sz w:val="20"/>
                <w:szCs w:val="20"/>
              </w:rPr>
              <w:t>Retatrutide</w:t>
            </w:r>
            <w:proofErr w:type="spellEnd"/>
          </w:p>
        </w:tc>
        <w:tc>
          <w:tcPr>
            <w:tcW w:w="166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sz w:val="20"/>
                <w:szCs w:val="20"/>
              </w:rPr>
            </w:pPr>
            <w:r w:rsidRPr="000E3763">
              <w:rPr>
                <w:rFonts w:asciiTheme="minorBidi" w:hAnsiTheme="minorBidi"/>
                <w:i/>
                <w:iCs/>
                <w:sz w:val="20"/>
                <w:szCs w:val="20"/>
              </w:rPr>
              <w:t>Dosage under investigation</w:t>
            </w:r>
          </w:p>
        </w:tc>
        <w:tc>
          <w:tcPr>
            <w:tcW w:w="166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0E3763">
              <w:rPr>
                <w:rFonts w:asciiTheme="minorBidi" w:hAnsiTheme="minorBidi"/>
                <w:sz w:val="20"/>
                <w:szCs w:val="20"/>
              </w:rPr>
              <w:t>Phase 2 Trial: Showed an average weight loss of approximately 24%</w:t>
            </w:r>
          </w:p>
        </w:tc>
      </w:tr>
      <w:tr w:rsidR="00404DFD" w:rsidRPr="000E3763" w:rsidTr="00404D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4DFD" w:rsidRPr="000E3763" w:rsidRDefault="00404DFD" w:rsidP="0049753E">
            <w:pPr>
              <w:spacing w:after="0"/>
              <w:jc w:val="center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3763"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  <w:t>Semaglutide</w:t>
            </w:r>
            <w:proofErr w:type="spellEnd"/>
            <w:r w:rsidRPr="000E3763"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 w:rsidRPr="000E3763"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  <w:t>Cagrilintide</w:t>
            </w:r>
            <w:proofErr w:type="spellEnd"/>
          </w:p>
          <w:p w:rsidR="00404DFD" w:rsidRPr="000E3763" w:rsidRDefault="00404DFD" w:rsidP="0049753E">
            <w:pPr>
              <w:spacing w:before="100" w:beforeAutospacing="1" w:after="100" w:afterAutospacing="1"/>
              <w:jc w:val="center"/>
              <w:rPr>
                <w:rFonts w:asciiTheme="minorBidi" w:hAnsiTheme="minorBid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sz w:val="20"/>
                <w:szCs w:val="20"/>
              </w:rPr>
            </w:pPr>
            <w:r w:rsidRPr="000E3763">
              <w:rPr>
                <w:rFonts w:asciiTheme="minorBidi" w:hAnsiTheme="minorBidi"/>
                <w:i/>
                <w:iCs/>
                <w:sz w:val="20"/>
                <w:szCs w:val="20"/>
              </w:rPr>
              <w:t>Dosage under investigation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0E3763">
              <w:rPr>
                <w:rFonts w:asciiTheme="minorBidi" w:hAnsiTheme="minorBidi"/>
                <w:sz w:val="20"/>
                <w:szCs w:val="20"/>
              </w:rPr>
              <w:t>Phase 2 Trial: Showed approximately 15% weight loss</w:t>
            </w:r>
          </w:p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404DFD" w:rsidRPr="000E3763" w:rsidTr="00404D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4DFD" w:rsidRPr="000E3763" w:rsidRDefault="00404DFD" w:rsidP="0049753E">
            <w:pPr>
              <w:spacing w:after="0"/>
              <w:jc w:val="center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E3763"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  <w:lastRenderedPageBreak/>
              <w:t>Orforglipron</w:t>
            </w:r>
            <w:proofErr w:type="spellEnd"/>
          </w:p>
          <w:p w:rsidR="00404DFD" w:rsidRPr="000E3763" w:rsidRDefault="00404DFD" w:rsidP="0049753E">
            <w:pPr>
              <w:spacing w:after="0"/>
              <w:jc w:val="center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i/>
                <w:iCs/>
                <w:sz w:val="20"/>
                <w:szCs w:val="20"/>
              </w:rPr>
            </w:pPr>
            <w:r w:rsidRPr="000E3763">
              <w:rPr>
                <w:rFonts w:asciiTheme="minorBidi" w:hAnsiTheme="minorBidi"/>
                <w:i/>
                <w:iCs/>
                <w:sz w:val="20"/>
                <w:szCs w:val="20"/>
              </w:rPr>
              <w:t>Dosage under investigation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04DFD" w:rsidRPr="000E3763" w:rsidRDefault="00404DFD" w:rsidP="0049753E">
            <w:pPr>
              <w:spacing w:before="120" w:after="12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  <w:r w:rsidRPr="000E3763">
              <w:rPr>
                <w:rFonts w:asciiTheme="minorBidi" w:hAnsiTheme="minorBidi"/>
                <w:sz w:val="20"/>
                <w:szCs w:val="20"/>
              </w:rPr>
              <w:t>Phase 2 Trial: Showed approximately 15% weight loss</w:t>
            </w:r>
          </w:p>
        </w:tc>
      </w:tr>
    </w:tbl>
    <w:p w:rsidR="00A104B0" w:rsidRDefault="00A104B0" w:rsidP="00404DFD"/>
    <w:sectPr w:rsidR="00A104B0" w:rsidSect="00404DFD"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F3"/>
    <w:rsid w:val="00013AD5"/>
    <w:rsid w:val="00404DFD"/>
    <w:rsid w:val="005674F3"/>
    <w:rsid w:val="00A1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A6451F48-F763-45DA-8B74-8833D2589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DFD"/>
    <w:pPr>
      <w:spacing w:after="200" w:line="276" w:lineRule="auto"/>
    </w:pPr>
    <w:rPr>
      <w:kern w:val="2"/>
      <w:lang w:bidi="ar-SA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">
    <w:name w:val="List Table 1 Light"/>
    <w:basedOn w:val="TableNormal"/>
    <w:uiPriority w:val="46"/>
    <w:rsid w:val="00404DFD"/>
    <w:pPr>
      <w:spacing w:after="0" w:line="240" w:lineRule="auto"/>
    </w:pPr>
    <w:rPr>
      <w:kern w:val="2"/>
      <w:lang w:bidi="ar-SA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2025-07-30T10:15:00Z</dcterms:created>
  <dcterms:modified xsi:type="dcterms:W3CDTF">2025-07-30T10:16:00Z</dcterms:modified>
</cp:coreProperties>
</file>